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224"/>
        <w:tblW w:w="9180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260"/>
        <w:gridCol w:w="2835"/>
      </w:tblGrid>
      <w:tr w:rsidR="00354F84" w:rsidRPr="00D07C84" w:rsidTr="00E73D8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84" w:rsidRPr="00D07C84" w:rsidRDefault="00354F84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DHOMA E POSAÇME E GJYKATËS SUPREME TË KOSOVËS PËR ÇËSHTJE QË LIDHEN ME AGJENSINË KOSOVARE TË PRIVATIZIMIT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84" w:rsidRPr="00D07C84" w:rsidRDefault="00354F84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SPECIAL CHAMBER OF THE SUPREME COURT OF KOSOVO ON PRIVATIZATION AGENCY OF KOSOVO RELATED MATTERS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4" w:rsidRPr="00D07C84" w:rsidRDefault="00354F84" w:rsidP="00E73D80">
            <w:pPr>
              <w:jc w:val="center"/>
              <w:rPr>
                <w:b/>
                <w:lang w:val="sr-Latn-RS"/>
              </w:rPr>
            </w:pPr>
            <w:r w:rsidRPr="00D07C84">
              <w:rPr>
                <w:b/>
                <w:lang w:val="sr-Latn-RS"/>
              </w:rPr>
              <w:t>POSEBNA KOMORA VRHOVNOG SUDA KOSOVA ZA PITANJA KOJA SE ODNOSE NA KOSOVSKU AGENCIJU ZA PRIVATIZACIJU</w:t>
            </w:r>
          </w:p>
        </w:tc>
      </w:tr>
    </w:tbl>
    <w:p w:rsidR="005C700D" w:rsidRDefault="005C700D" w:rsidP="005C700D">
      <w:pPr>
        <w:rPr>
          <w:lang w:val="sr-Latn-RS"/>
        </w:rPr>
      </w:pPr>
    </w:p>
    <w:p w:rsidR="005C700D" w:rsidRPr="00A21889" w:rsidRDefault="005C700D" w:rsidP="00A21889">
      <w:pPr>
        <w:jc w:val="both"/>
        <w:rPr>
          <w:i/>
          <w:lang w:val="sr-Latn-RS"/>
        </w:rPr>
      </w:pPr>
      <w:r w:rsidRPr="00A21889">
        <w:rPr>
          <w:i/>
          <w:lang w:val="sr-Latn-RS"/>
        </w:rPr>
        <w:t xml:space="preserve">Rešenje od 31 oktobra 2013 – AC-I.-13-0094 </w:t>
      </w:r>
      <w:bookmarkStart w:id="0" w:name="_GoBack"/>
      <w:bookmarkEnd w:id="0"/>
    </w:p>
    <w:p w:rsidR="00A32ACA" w:rsidRPr="005C700D" w:rsidRDefault="00A32ACA" w:rsidP="005C700D">
      <w:pPr>
        <w:rPr>
          <w:lang w:val="sr-Latn-RS"/>
        </w:rPr>
      </w:pPr>
    </w:p>
    <w:p w:rsidR="00BE4842" w:rsidRPr="005C700D" w:rsidRDefault="00BE4842" w:rsidP="005C700D">
      <w:pPr>
        <w:jc w:val="both"/>
        <w:rPr>
          <w:lang w:val="sr-Latn-RS"/>
        </w:rPr>
      </w:pPr>
      <w:r w:rsidRPr="00A21889">
        <w:rPr>
          <w:b/>
          <w:bCs/>
          <w:lang w:val="sr-Latn-RS"/>
        </w:rPr>
        <w:t>Istorijat postupka i činjenični kontekst</w:t>
      </w:r>
      <w:r w:rsidR="00A32ACA" w:rsidRPr="00A21889">
        <w:rPr>
          <w:b/>
          <w:bCs/>
          <w:lang w:val="sr-Latn-RS"/>
        </w:rPr>
        <w:t xml:space="preserve"> </w:t>
      </w:r>
      <w:r w:rsidR="00A21889" w:rsidRPr="00A21889">
        <w:rPr>
          <w:bCs/>
          <w:lang w:val="sr-Latn-RS"/>
        </w:rPr>
        <w:t>[1]</w:t>
      </w:r>
      <w:r w:rsidR="00A21889">
        <w:rPr>
          <w:b/>
          <w:bCs/>
          <w:lang w:val="sr-Latn-RS"/>
        </w:rPr>
        <w:t xml:space="preserve"> </w:t>
      </w:r>
      <w:r w:rsidRPr="005C700D">
        <w:rPr>
          <w:lang w:val="sr-Latn-RS"/>
        </w:rPr>
        <w:t xml:space="preserve">Dana 9. avgusta 2013. godine državni tužilac podneo </w:t>
      </w:r>
      <w:r w:rsidR="004857C9" w:rsidRPr="005C700D">
        <w:rPr>
          <w:lang w:val="sr-Latn-RS"/>
        </w:rPr>
        <w:t xml:space="preserve">je </w:t>
      </w:r>
      <w:r w:rsidRPr="005C700D">
        <w:rPr>
          <w:lang w:val="sr-Latn-RS"/>
        </w:rPr>
        <w:t xml:space="preserve">zahtev za zaštitu zakonitosti Žalbenom veću, smatrajući da je u presudama navedenim gore pod A, B i C, </w:t>
      </w:r>
      <w:r w:rsidR="00684C97" w:rsidRPr="005C700D">
        <w:rPr>
          <w:lang w:val="sr-Latn-RS"/>
        </w:rPr>
        <w:t>u</w:t>
      </w:r>
      <w:r w:rsidRPr="005C700D">
        <w:rPr>
          <w:lang w:val="sr-Latn-RS"/>
        </w:rPr>
        <w:t xml:space="preserve"> ovoj pravnoj stvari, učinjena povreda </w:t>
      </w:r>
      <w:r w:rsidR="004857C9" w:rsidRPr="005C700D">
        <w:rPr>
          <w:lang w:val="sr-Latn-RS"/>
        </w:rPr>
        <w:t xml:space="preserve">zakonskih </w:t>
      </w:r>
      <w:r w:rsidRPr="005C700D">
        <w:rPr>
          <w:lang w:val="sr-Latn-RS"/>
        </w:rPr>
        <w:t xml:space="preserve">odredaba. </w:t>
      </w:r>
    </w:p>
    <w:p w:rsidR="00BE4842" w:rsidRPr="005C700D" w:rsidRDefault="00BE4842" w:rsidP="005C700D">
      <w:pPr>
        <w:jc w:val="both"/>
        <w:rPr>
          <w:lang w:val="sr-Latn-RS"/>
        </w:rPr>
      </w:pPr>
    </w:p>
    <w:p w:rsidR="002E0277" w:rsidRPr="005C700D" w:rsidRDefault="00A21889" w:rsidP="005C700D">
      <w:pPr>
        <w:jc w:val="both"/>
        <w:rPr>
          <w:lang w:val="sr-Latn-RS"/>
        </w:rPr>
      </w:pPr>
      <w:r>
        <w:rPr>
          <w:lang w:val="sr-Latn-RS"/>
        </w:rPr>
        <w:t xml:space="preserve">[2] </w:t>
      </w:r>
      <w:r w:rsidR="00BE4842" w:rsidRPr="005C700D">
        <w:rPr>
          <w:lang w:val="sr-Latn-RS"/>
        </w:rPr>
        <w:t>Državni tužilac zaključuje da navedene presude/rešenja treba da budu poni</w:t>
      </w:r>
      <w:r w:rsidR="002E0277" w:rsidRPr="005C700D">
        <w:rPr>
          <w:lang w:val="sr-Latn-RS"/>
        </w:rPr>
        <w:t xml:space="preserve">šteni i predmet treba da bude vraćen na ponovni postupak nadležnom sudskom veću PKVS. </w:t>
      </w:r>
    </w:p>
    <w:p w:rsidR="00A32ACA" w:rsidRPr="005C700D" w:rsidRDefault="00A32ACA" w:rsidP="005C700D">
      <w:pPr>
        <w:jc w:val="both"/>
        <w:rPr>
          <w:lang w:val="sr-Latn-RS"/>
        </w:rPr>
      </w:pPr>
      <w:r w:rsidRPr="005C700D">
        <w:rPr>
          <w:lang w:val="sr-Latn-RS"/>
        </w:rPr>
        <w:br/>
      </w:r>
      <w:r w:rsidR="002E0277" w:rsidRPr="00A21889">
        <w:rPr>
          <w:b/>
          <w:bCs/>
          <w:lang w:val="sr-Latn-RS"/>
        </w:rPr>
        <w:t>Obrazloženje</w:t>
      </w:r>
      <w:r w:rsidR="00A21889">
        <w:rPr>
          <w:b/>
          <w:bCs/>
          <w:lang w:val="sr-Latn-RS"/>
        </w:rPr>
        <w:t xml:space="preserve"> </w:t>
      </w:r>
      <w:r w:rsidR="00A21889" w:rsidRPr="00A21889">
        <w:rPr>
          <w:bCs/>
          <w:lang w:val="sr-Latn-RS"/>
        </w:rPr>
        <w:t>[3]</w:t>
      </w:r>
      <w:r w:rsidR="00A21889">
        <w:rPr>
          <w:b/>
          <w:bCs/>
          <w:lang w:val="sr-Latn-RS"/>
        </w:rPr>
        <w:t xml:space="preserve"> </w:t>
      </w:r>
      <w:r w:rsidR="002E0277" w:rsidRPr="005C700D">
        <w:rPr>
          <w:lang w:val="sr-Latn-RS"/>
        </w:rPr>
        <w:t xml:space="preserve">Zahtev za zaštitu zakonitosti koji je podneo državni tužilac je neprihvatljiv. </w:t>
      </w:r>
    </w:p>
    <w:p w:rsidR="00B613F8" w:rsidRPr="005C700D" w:rsidRDefault="00A32ACA" w:rsidP="005C700D">
      <w:pPr>
        <w:jc w:val="both"/>
        <w:rPr>
          <w:lang w:val="sr-Latn-RS"/>
        </w:rPr>
      </w:pPr>
      <w:r w:rsidRPr="005C700D">
        <w:rPr>
          <w:lang w:val="sr-Latn-RS"/>
        </w:rPr>
        <w:br/>
      </w:r>
      <w:r w:rsidR="00A21889">
        <w:rPr>
          <w:lang w:val="sr-Latn-RS"/>
        </w:rPr>
        <w:t xml:space="preserve">[4] </w:t>
      </w:r>
      <w:r w:rsidR="00B613F8" w:rsidRPr="005C700D">
        <w:rPr>
          <w:lang w:val="sr-Latn-RS"/>
        </w:rPr>
        <w:t>Na osnovu člana</w:t>
      </w:r>
      <w:r w:rsidRPr="005C700D">
        <w:rPr>
          <w:lang w:val="sr-Latn-RS"/>
        </w:rPr>
        <w:t xml:space="preserve"> 64.1</w:t>
      </w:r>
      <w:r w:rsidR="00B613F8" w:rsidRPr="005C700D">
        <w:rPr>
          <w:lang w:val="sr-Latn-RS"/>
        </w:rPr>
        <w:t xml:space="preserve"> Aneksa Zakona br.</w:t>
      </w:r>
      <w:r w:rsidRPr="005C700D">
        <w:rPr>
          <w:lang w:val="sr-Latn-RS"/>
        </w:rPr>
        <w:t xml:space="preserve"> 04/L-033 </w:t>
      </w:r>
      <w:r w:rsidR="00B613F8" w:rsidRPr="005C700D">
        <w:rPr>
          <w:lang w:val="sr-Latn-RS"/>
        </w:rPr>
        <w:t xml:space="preserve">o Posebnoj komori Vrhovnog suda Kosova za pitanja koja se odnose na Kosovsku agenciju za privatizaciju (Aneks), Žalbeno veće odlučilo je da ne održi usmenu raspravu. </w:t>
      </w:r>
    </w:p>
    <w:p w:rsidR="00A32ACA" w:rsidRPr="005C700D" w:rsidRDefault="00A32ACA" w:rsidP="005C700D">
      <w:pPr>
        <w:jc w:val="both"/>
        <w:rPr>
          <w:lang w:val="sr-Latn-RS"/>
        </w:rPr>
      </w:pPr>
      <w:r w:rsidRPr="005C700D">
        <w:rPr>
          <w:lang w:val="sr-Latn-RS"/>
        </w:rPr>
        <w:br/>
      </w:r>
      <w:r w:rsidR="00A21889">
        <w:rPr>
          <w:lang w:val="sr-Latn-RS"/>
        </w:rPr>
        <w:t xml:space="preserve">[5] </w:t>
      </w:r>
      <w:r w:rsidR="00B613F8" w:rsidRPr="005C700D">
        <w:rPr>
          <w:lang w:val="sr-Latn-RS"/>
        </w:rPr>
        <w:t xml:space="preserve">Žalbeno veće smatra da </w:t>
      </w:r>
      <w:r w:rsidR="008557E1" w:rsidRPr="005C700D">
        <w:rPr>
          <w:lang w:val="sr-Latn-RS"/>
        </w:rPr>
        <w:t xml:space="preserve">su, </w:t>
      </w:r>
      <w:r w:rsidR="00B613F8" w:rsidRPr="005C700D">
        <w:rPr>
          <w:lang w:val="sr-Latn-RS"/>
        </w:rPr>
        <w:t xml:space="preserve">na osnovu člana </w:t>
      </w:r>
      <w:r w:rsidRPr="005C700D">
        <w:rPr>
          <w:lang w:val="sr-Latn-RS"/>
        </w:rPr>
        <w:t>10</w:t>
      </w:r>
      <w:r w:rsidR="00B613F8" w:rsidRPr="005C700D">
        <w:rPr>
          <w:lang w:val="sr-Latn-RS"/>
        </w:rPr>
        <w:t xml:space="preserve"> stav</w:t>
      </w:r>
      <w:r w:rsidRPr="005C700D">
        <w:rPr>
          <w:lang w:val="sr-Latn-RS"/>
        </w:rPr>
        <w:t xml:space="preserve"> 14 </w:t>
      </w:r>
      <w:r w:rsidR="00B613F8" w:rsidRPr="005C700D">
        <w:rPr>
          <w:lang w:val="sr-Latn-RS"/>
        </w:rPr>
        <w:t>Zakona br.</w:t>
      </w:r>
      <w:r w:rsidRPr="005C700D">
        <w:rPr>
          <w:lang w:val="sr-Latn-RS"/>
        </w:rPr>
        <w:t xml:space="preserve"> 04/L-033 </w:t>
      </w:r>
      <w:r w:rsidR="00B46296" w:rsidRPr="005C700D">
        <w:rPr>
          <w:lang w:val="sr-Latn-RS"/>
        </w:rPr>
        <w:t xml:space="preserve">o Posebnoj komori Vrhovnog suda Kosova za pitanja koja se odnose na Kosovsku agenciju za privatizaciju (ZPK), </w:t>
      </w:r>
      <w:r w:rsidR="00F3637A" w:rsidRPr="005C700D">
        <w:rPr>
          <w:lang w:val="sr-Latn-RS"/>
        </w:rPr>
        <w:t xml:space="preserve">sve presude i odluke Žalbenog veća konačne i </w:t>
      </w:r>
      <w:r w:rsidR="00342A0F" w:rsidRPr="005C700D">
        <w:rPr>
          <w:lang w:val="sr-Latn-RS"/>
        </w:rPr>
        <w:t>na</w:t>
      </w:r>
      <w:r w:rsidR="00F3637A" w:rsidRPr="005C700D">
        <w:rPr>
          <w:lang w:val="sr-Latn-RS"/>
        </w:rPr>
        <w:t xml:space="preserve"> njih se ne mogu uložiti dalje žalbe. Pored toga, ZPK i Aneks istog zakona ne predviđaju </w:t>
      </w:r>
      <w:r w:rsidR="004C0CE9" w:rsidRPr="005C700D">
        <w:rPr>
          <w:lang w:val="sr-Latn-RS"/>
        </w:rPr>
        <w:t xml:space="preserve">nijedan </w:t>
      </w:r>
      <w:r w:rsidR="00F3637A" w:rsidRPr="005C700D">
        <w:rPr>
          <w:lang w:val="sr-Latn-RS"/>
        </w:rPr>
        <w:t xml:space="preserve">vanredni pravni lek protiv </w:t>
      </w:r>
      <w:r w:rsidR="008557E1" w:rsidRPr="005C700D">
        <w:rPr>
          <w:lang w:val="sr-Latn-RS"/>
        </w:rPr>
        <w:t xml:space="preserve">takvih </w:t>
      </w:r>
      <w:r w:rsidR="00F3637A" w:rsidRPr="005C700D">
        <w:rPr>
          <w:lang w:val="sr-Latn-RS"/>
        </w:rPr>
        <w:t xml:space="preserve">rešenja ili presuda Žalbenog veća (takav </w:t>
      </w:r>
      <w:r w:rsidR="003350B2" w:rsidRPr="005C700D">
        <w:rPr>
          <w:lang w:val="sr-Latn-RS"/>
        </w:rPr>
        <w:t xml:space="preserve">vanredni </w:t>
      </w:r>
      <w:r w:rsidR="00F3637A" w:rsidRPr="005C700D">
        <w:rPr>
          <w:lang w:val="sr-Latn-RS"/>
        </w:rPr>
        <w:t xml:space="preserve">pravni lek nije predviđen ni Uredbom UNMIK-a br. </w:t>
      </w:r>
      <w:r w:rsidRPr="005C700D">
        <w:rPr>
          <w:lang w:val="sr-Latn-RS"/>
        </w:rPr>
        <w:t xml:space="preserve">2008/4 </w:t>
      </w:r>
      <w:r w:rsidR="00F3637A" w:rsidRPr="005C700D">
        <w:rPr>
          <w:lang w:val="sr-Latn-RS"/>
        </w:rPr>
        <w:t>ni Administrativnim naređenjem</w:t>
      </w:r>
      <w:r w:rsidR="00613DC0" w:rsidRPr="005C700D">
        <w:rPr>
          <w:lang w:val="sr-Latn-RS"/>
        </w:rPr>
        <w:t xml:space="preserve"> UNMIK-a</w:t>
      </w:r>
      <w:r w:rsidR="00F3637A" w:rsidRPr="005C700D">
        <w:rPr>
          <w:lang w:val="sr-Latn-RS"/>
        </w:rPr>
        <w:t xml:space="preserve"> br.</w:t>
      </w:r>
      <w:r w:rsidRPr="005C700D">
        <w:rPr>
          <w:lang w:val="sr-Latn-RS"/>
        </w:rPr>
        <w:t xml:space="preserve"> 2008/ 6).</w:t>
      </w:r>
    </w:p>
    <w:p w:rsidR="00A32ACA" w:rsidRPr="005C700D" w:rsidRDefault="00A32ACA" w:rsidP="005C700D">
      <w:pPr>
        <w:jc w:val="both"/>
        <w:rPr>
          <w:lang w:val="sr-Latn-RS"/>
        </w:rPr>
      </w:pPr>
    </w:p>
    <w:p w:rsidR="00A32ACA" w:rsidRPr="005C700D" w:rsidRDefault="00A21889" w:rsidP="005C700D">
      <w:pPr>
        <w:jc w:val="both"/>
        <w:rPr>
          <w:lang w:val="sr-Latn-RS"/>
        </w:rPr>
      </w:pPr>
      <w:r>
        <w:rPr>
          <w:lang w:val="sr-Latn-RS"/>
        </w:rPr>
        <w:t xml:space="preserve">[6] </w:t>
      </w:r>
      <w:r w:rsidR="00F3637A" w:rsidRPr="005C700D">
        <w:rPr>
          <w:lang w:val="sr-Latn-RS"/>
        </w:rPr>
        <w:t xml:space="preserve">Žalbeno veće nalazi da je u predmetima o kojima je reč, navedenim </w:t>
      </w:r>
      <w:r w:rsidR="00613DC0" w:rsidRPr="005C700D">
        <w:rPr>
          <w:lang w:val="sr-Latn-RS"/>
        </w:rPr>
        <w:t xml:space="preserve">gore </w:t>
      </w:r>
      <w:r w:rsidR="00F3637A" w:rsidRPr="005C700D">
        <w:rPr>
          <w:lang w:val="sr-Latn-RS"/>
        </w:rPr>
        <w:t xml:space="preserve">pod A, B i C, već odlučeno i da su iscrpljeni svi pravni lekovi nakon rešenja Žalbenog veća od 30. aprila 2013. godine, koje je postalo </w:t>
      </w:r>
      <w:r w:rsidR="00613DC0" w:rsidRPr="005C700D">
        <w:rPr>
          <w:lang w:val="sr-Latn-RS"/>
        </w:rPr>
        <w:t>konač</w:t>
      </w:r>
      <w:r w:rsidR="00F3637A" w:rsidRPr="005C700D">
        <w:rPr>
          <w:lang w:val="sr-Latn-RS"/>
        </w:rPr>
        <w:t xml:space="preserve">no istog dana. Shodno tome, zahtev za zaštitu zakonitosti, kao vanredni pravni lek, ne može se primeniti </w:t>
      </w:r>
      <w:r w:rsidR="00FC6BE1" w:rsidRPr="005C700D">
        <w:rPr>
          <w:lang w:val="sr-Latn-RS"/>
        </w:rPr>
        <w:t>protiv t</w:t>
      </w:r>
      <w:r w:rsidR="000F4757" w:rsidRPr="005C700D">
        <w:rPr>
          <w:lang w:val="sr-Latn-RS"/>
        </w:rPr>
        <w:t xml:space="preserve">akvih </w:t>
      </w:r>
      <w:r w:rsidR="00FC6BE1" w:rsidRPr="005C700D">
        <w:rPr>
          <w:lang w:val="sr-Latn-RS"/>
        </w:rPr>
        <w:t xml:space="preserve">rešenja, te se, kao takav, odbacuje kao neprihvatljiv. </w:t>
      </w:r>
      <w:r w:rsidR="00F3637A" w:rsidRPr="005C700D">
        <w:rPr>
          <w:lang w:val="sr-Latn-RS"/>
        </w:rPr>
        <w:t xml:space="preserve"> </w:t>
      </w:r>
    </w:p>
    <w:p w:rsidR="00FC6BE1" w:rsidRPr="005C700D" w:rsidRDefault="00FC6BE1" w:rsidP="005C700D">
      <w:pPr>
        <w:jc w:val="both"/>
        <w:rPr>
          <w:lang w:val="sr-Latn-RS"/>
        </w:rPr>
      </w:pPr>
    </w:p>
    <w:p w:rsidR="00754F81" w:rsidRPr="005C700D" w:rsidRDefault="00A21889" w:rsidP="005C700D">
      <w:pPr>
        <w:jc w:val="both"/>
        <w:rPr>
          <w:lang w:val="sr-Latn-RS"/>
        </w:rPr>
      </w:pPr>
      <w:r>
        <w:rPr>
          <w:lang w:val="sr-Latn-RS"/>
        </w:rPr>
        <w:t xml:space="preserve">[7] </w:t>
      </w:r>
      <w:r w:rsidR="00FC6BE1" w:rsidRPr="005C700D">
        <w:rPr>
          <w:lang w:val="sr-Latn-RS"/>
        </w:rPr>
        <w:t xml:space="preserve">Na osnovu napred navedenih argumenata i na osnovu člana </w:t>
      </w:r>
      <w:r w:rsidR="00A32ACA" w:rsidRPr="005C700D">
        <w:rPr>
          <w:lang w:val="sr-Latn-RS"/>
        </w:rPr>
        <w:t xml:space="preserve">10.10 </w:t>
      </w:r>
      <w:r w:rsidR="00FC6BE1" w:rsidRPr="005C700D">
        <w:rPr>
          <w:lang w:val="sr-Latn-RS"/>
        </w:rPr>
        <w:t xml:space="preserve">ZPK-a, Žalbeno veće odlučilo je kao u izreci ovog rešenja. </w:t>
      </w:r>
    </w:p>
    <w:p w:rsidR="00FC6BE1" w:rsidRPr="005C700D" w:rsidRDefault="00FC6BE1" w:rsidP="005C700D">
      <w:pPr>
        <w:jc w:val="both"/>
        <w:rPr>
          <w:lang w:val="sr-Latn-RS"/>
        </w:rPr>
      </w:pPr>
    </w:p>
    <w:p w:rsidR="00A32ACA" w:rsidRPr="005C700D" w:rsidRDefault="00A21889" w:rsidP="005C700D">
      <w:pPr>
        <w:jc w:val="both"/>
        <w:rPr>
          <w:lang w:val="sr-Latn-RS"/>
        </w:rPr>
      </w:pPr>
      <w:r>
        <w:rPr>
          <w:lang w:val="sr-Latn-RS"/>
        </w:rPr>
        <w:t xml:space="preserve">[8] </w:t>
      </w:r>
      <w:r w:rsidR="00334DD9" w:rsidRPr="005C700D">
        <w:rPr>
          <w:lang w:val="sr-Latn-RS"/>
        </w:rPr>
        <w:t xml:space="preserve">Zahtev za zaštitu zakonitosti koji je podneo državni tužilac na osnovu odredaba Zakona o parničnom postupku (ZPP) u ime jedne stranke, </w:t>
      </w:r>
      <w:r w:rsidR="001E5FCE" w:rsidRPr="005C700D">
        <w:rPr>
          <w:lang w:val="sr-Latn-RS"/>
        </w:rPr>
        <w:t xml:space="preserve">može se primeniti kao vanredan pravni lek </w:t>
      </w:r>
      <w:r w:rsidR="00334DD9" w:rsidRPr="005C700D">
        <w:rPr>
          <w:lang w:val="sr-Latn-RS"/>
        </w:rPr>
        <w:t xml:space="preserve">protiv konačne odluke nižestepenih sudova, ali ne i protiv konačne odluke Žalbenog veća PKVS, </w:t>
      </w:r>
      <w:r w:rsidR="00926163" w:rsidRPr="005C700D">
        <w:rPr>
          <w:lang w:val="sr-Latn-RS"/>
        </w:rPr>
        <w:t xml:space="preserve">budući da, </w:t>
      </w:r>
      <w:r w:rsidR="00334DD9" w:rsidRPr="005C700D">
        <w:rPr>
          <w:lang w:val="sr-Latn-RS"/>
        </w:rPr>
        <w:t>kako je navedeno gor</w:t>
      </w:r>
      <w:r w:rsidR="00926163" w:rsidRPr="005C700D">
        <w:rPr>
          <w:lang w:val="sr-Latn-RS"/>
        </w:rPr>
        <w:t xml:space="preserve">e, član 10.14 ZPK-a sprečava tu mogućnost. </w:t>
      </w:r>
    </w:p>
    <w:p w:rsidR="00A32ACA" w:rsidRPr="005C700D" w:rsidRDefault="00A32ACA" w:rsidP="005C700D">
      <w:pPr>
        <w:jc w:val="both"/>
        <w:rPr>
          <w:lang w:val="sr-Latn-RS"/>
        </w:rPr>
      </w:pPr>
    </w:p>
    <w:p w:rsidR="00A32ACA" w:rsidRPr="005C700D" w:rsidRDefault="00F022C5" w:rsidP="005C700D">
      <w:pPr>
        <w:jc w:val="both"/>
        <w:rPr>
          <w:lang w:val="sr-Latn-RS"/>
        </w:rPr>
      </w:pPr>
      <w:r>
        <w:rPr>
          <w:lang w:val="sr-Latn-RS"/>
        </w:rPr>
        <w:br/>
      </w:r>
    </w:p>
    <w:sectPr w:rsidR="00A32ACA" w:rsidRPr="005C700D" w:rsidSect="00580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6A81"/>
    <w:multiLevelType w:val="hybridMultilevel"/>
    <w:tmpl w:val="1416D39E"/>
    <w:lvl w:ilvl="0" w:tplc="C338B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A96232"/>
    <w:multiLevelType w:val="hybridMultilevel"/>
    <w:tmpl w:val="426EC1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FB"/>
    <w:rsid w:val="0006029B"/>
    <w:rsid w:val="00074894"/>
    <w:rsid w:val="000B550D"/>
    <w:rsid w:val="000C1DA7"/>
    <w:rsid w:val="000E69CD"/>
    <w:rsid w:val="000F4757"/>
    <w:rsid w:val="000F64AC"/>
    <w:rsid w:val="00101702"/>
    <w:rsid w:val="0016010E"/>
    <w:rsid w:val="00193E95"/>
    <w:rsid w:val="001D5D5B"/>
    <w:rsid w:val="001E5FCE"/>
    <w:rsid w:val="001F4373"/>
    <w:rsid w:val="002167F0"/>
    <w:rsid w:val="002463CF"/>
    <w:rsid w:val="00272357"/>
    <w:rsid w:val="00272475"/>
    <w:rsid w:val="00281E3D"/>
    <w:rsid w:val="0029438B"/>
    <w:rsid w:val="002E0277"/>
    <w:rsid w:val="0031081B"/>
    <w:rsid w:val="0033254A"/>
    <w:rsid w:val="00334DD9"/>
    <w:rsid w:val="003350B2"/>
    <w:rsid w:val="00335F64"/>
    <w:rsid w:val="00342A0F"/>
    <w:rsid w:val="00345033"/>
    <w:rsid w:val="00354F84"/>
    <w:rsid w:val="00362400"/>
    <w:rsid w:val="0037335C"/>
    <w:rsid w:val="00376B51"/>
    <w:rsid w:val="003A432F"/>
    <w:rsid w:val="003C5FBE"/>
    <w:rsid w:val="003C7F67"/>
    <w:rsid w:val="00416277"/>
    <w:rsid w:val="00436A30"/>
    <w:rsid w:val="0044320C"/>
    <w:rsid w:val="004857C9"/>
    <w:rsid w:val="004A1F07"/>
    <w:rsid w:val="004C0CE9"/>
    <w:rsid w:val="004F2D55"/>
    <w:rsid w:val="004F5DB0"/>
    <w:rsid w:val="0050138C"/>
    <w:rsid w:val="0050583C"/>
    <w:rsid w:val="005312DD"/>
    <w:rsid w:val="00572AB5"/>
    <w:rsid w:val="005808B4"/>
    <w:rsid w:val="005C6DB1"/>
    <w:rsid w:val="005C700D"/>
    <w:rsid w:val="006115FB"/>
    <w:rsid w:val="00613DC0"/>
    <w:rsid w:val="006144FA"/>
    <w:rsid w:val="006356A4"/>
    <w:rsid w:val="00643B01"/>
    <w:rsid w:val="00643EF7"/>
    <w:rsid w:val="00677C38"/>
    <w:rsid w:val="00684C97"/>
    <w:rsid w:val="006C199B"/>
    <w:rsid w:val="00726546"/>
    <w:rsid w:val="00742DF3"/>
    <w:rsid w:val="00754F81"/>
    <w:rsid w:val="00784057"/>
    <w:rsid w:val="00784DDE"/>
    <w:rsid w:val="00792DA8"/>
    <w:rsid w:val="007C0F48"/>
    <w:rsid w:val="007C7C9A"/>
    <w:rsid w:val="007F144A"/>
    <w:rsid w:val="0080183C"/>
    <w:rsid w:val="00820C9E"/>
    <w:rsid w:val="008557E1"/>
    <w:rsid w:val="00862AC8"/>
    <w:rsid w:val="008807E0"/>
    <w:rsid w:val="008A4D25"/>
    <w:rsid w:val="008B1328"/>
    <w:rsid w:val="008B33B1"/>
    <w:rsid w:val="008C519C"/>
    <w:rsid w:val="008E16DD"/>
    <w:rsid w:val="00926163"/>
    <w:rsid w:val="0093026C"/>
    <w:rsid w:val="0093605E"/>
    <w:rsid w:val="0094646D"/>
    <w:rsid w:val="00975540"/>
    <w:rsid w:val="009A7EBA"/>
    <w:rsid w:val="009B61EB"/>
    <w:rsid w:val="00A20CCC"/>
    <w:rsid w:val="00A21889"/>
    <w:rsid w:val="00A244EB"/>
    <w:rsid w:val="00A32ACA"/>
    <w:rsid w:val="00A7166F"/>
    <w:rsid w:val="00AA1CDE"/>
    <w:rsid w:val="00AD6CEE"/>
    <w:rsid w:val="00B1640D"/>
    <w:rsid w:val="00B24A06"/>
    <w:rsid w:val="00B46296"/>
    <w:rsid w:val="00B613F8"/>
    <w:rsid w:val="00B8040A"/>
    <w:rsid w:val="00BE4842"/>
    <w:rsid w:val="00C71CB9"/>
    <w:rsid w:val="00C77C14"/>
    <w:rsid w:val="00CB4279"/>
    <w:rsid w:val="00CC117C"/>
    <w:rsid w:val="00CE1FCD"/>
    <w:rsid w:val="00CE3174"/>
    <w:rsid w:val="00D1585B"/>
    <w:rsid w:val="00D42B21"/>
    <w:rsid w:val="00D61AC1"/>
    <w:rsid w:val="00D65806"/>
    <w:rsid w:val="00DB2F3E"/>
    <w:rsid w:val="00DB36FF"/>
    <w:rsid w:val="00DE163C"/>
    <w:rsid w:val="00E17914"/>
    <w:rsid w:val="00E23996"/>
    <w:rsid w:val="00E36AB7"/>
    <w:rsid w:val="00E541B6"/>
    <w:rsid w:val="00E5683B"/>
    <w:rsid w:val="00E92EB2"/>
    <w:rsid w:val="00E956F3"/>
    <w:rsid w:val="00EF3F66"/>
    <w:rsid w:val="00F022C5"/>
    <w:rsid w:val="00F25F4B"/>
    <w:rsid w:val="00F3637A"/>
    <w:rsid w:val="00FC6BE1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6F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5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C519C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101702"/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E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66F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51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C519C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99"/>
    <w:qFormat/>
    <w:rsid w:val="00101702"/>
    <w:rPr>
      <w:rFonts w:ascii="Times New Roman" w:eastAsia="Times New Roman" w:hAnsi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E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06CD-8CA7-4244-BC8A-3F7AE1EA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DHOMA E POSAÇME E GJYKATËS SUPREME TË KOSOVËS PËR ÇËSHTJE QË LIDHEN ME AGJENSINË KOSOVARE TË PRIVATIZIMIT</vt:lpstr>
    </vt:vector>
  </TitlesOfParts>
  <Company>Keshilli GJyqesor i Kosoves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DHOMA E POSAÇME E GJYKATËS SUPREME TË KOSOVËS PËR ÇËSHTJE QË LIDHEN ME AGJENSINË KOSOVARE TË PRIVATIZIMIT</dc:title>
  <dc:creator>Mentor Halilaj</dc:creator>
  <cp:lastModifiedBy>Timo Knaebe</cp:lastModifiedBy>
  <cp:revision>3</cp:revision>
  <dcterms:created xsi:type="dcterms:W3CDTF">2015-11-30T14:40:00Z</dcterms:created>
  <dcterms:modified xsi:type="dcterms:W3CDTF">2015-11-30T14:40:00Z</dcterms:modified>
</cp:coreProperties>
</file>