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44" w:rsidRPr="00BF38EF" w:rsidRDefault="00B96F44" w:rsidP="001D7020">
      <w:pPr>
        <w:jc w:val="both"/>
        <w:rPr>
          <w:rFonts w:eastAsia="MS Mincho"/>
          <w:b/>
        </w:rPr>
      </w:pPr>
    </w:p>
    <w:tbl>
      <w:tblPr>
        <w:tblpPr w:leftFromText="180" w:rightFromText="180" w:vertAnchor="text" w:tblpY="-224"/>
        <w:tblW w:w="918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60"/>
        <w:gridCol w:w="2835"/>
      </w:tblGrid>
      <w:tr w:rsidR="008F7C87" w:rsidRPr="00D07C84" w:rsidTr="00E73D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87" w:rsidRPr="00D07C84" w:rsidRDefault="008F7C87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DHOMA E POSAÇME E GJYKATËS SUPREME TË KOSOVËS PËR ÇËSHTJE QË LIDHEN ME AGJENSINË KOSOVARE TË PRIVATIZIMIT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87" w:rsidRPr="00D07C84" w:rsidRDefault="008F7C87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SPECIAL CHAMBER OF THE SUPREME COURT OF KOSOVO ON PRIVATIZATION AGENCY OF KOSOVO RELATED MATTERS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87" w:rsidRPr="00D07C84" w:rsidRDefault="008F7C87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POSEBNA KOMORA VRHOVNOG SUDA KOSOVA ZA PITANJA KOJA SE ODNOSE NA KOSOVSKU AGENCIJU ZA PRIVATIZACIJU</w:t>
            </w:r>
          </w:p>
        </w:tc>
      </w:tr>
    </w:tbl>
    <w:p w:rsidR="001F5FFD" w:rsidRPr="008F7C87" w:rsidRDefault="001F5FFD" w:rsidP="001D7020">
      <w:pPr>
        <w:rPr>
          <w:lang w:val="sr-Latn-RS"/>
        </w:rPr>
      </w:pPr>
    </w:p>
    <w:p w:rsidR="00DE0F6F" w:rsidRPr="00412F10" w:rsidRDefault="00DE0F6F" w:rsidP="001D7020">
      <w:pPr>
        <w:jc w:val="both"/>
        <w:rPr>
          <w:i/>
        </w:rPr>
      </w:pPr>
      <w:r w:rsidRPr="00412F10">
        <w:rPr>
          <w:bCs/>
          <w:i/>
        </w:rPr>
        <w:t xml:space="preserve">Decision of </w:t>
      </w:r>
      <w:r>
        <w:rPr>
          <w:bCs/>
          <w:i/>
        </w:rPr>
        <w:t>31 October 2013</w:t>
      </w:r>
      <w:r w:rsidRPr="00412F10">
        <w:rPr>
          <w:bCs/>
          <w:i/>
        </w:rPr>
        <w:t xml:space="preserve"> – </w:t>
      </w:r>
      <w:r w:rsidR="000317FA">
        <w:rPr>
          <w:bCs/>
          <w:i/>
        </w:rPr>
        <w:t>AC-I-13-0094</w:t>
      </w:r>
      <w:bookmarkStart w:id="0" w:name="_GoBack"/>
      <w:bookmarkEnd w:id="0"/>
    </w:p>
    <w:p w:rsidR="00A32ACA" w:rsidRPr="00BF38EF" w:rsidRDefault="00A32ACA" w:rsidP="001D7020"/>
    <w:p w:rsidR="00856512" w:rsidRDefault="00856512" w:rsidP="001D7020">
      <w:pPr>
        <w:jc w:val="both"/>
        <w:rPr>
          <w:b/>
          <w:bCs/>
        </w:rPr>
      </w:pPr>
    </w:p>
    <w:p w:rsidR="00E5683B" w:rsidRPr="00BF38EF" w:rsidRDefault="00A32ACA" w:rsidP="001D7020">
      <w:pPr>
        <w:jc w:val="both"/>
        <w:rPr>
          <w:b/>
          <w:bCs/>
          <w:u w:val="single"/>
        </w:rPr>
      </w:pPr>
      <w:r w:rsidRPr="00BF38EF">
        <w:rPr>
          <w:b/>
          <w:bCs/>
        </w:rPr>
        <w:t>Procedural and Factual Background</w:t>
      </w:r>
      <w:r w:rsidR="00BF38EF" w:rsidRPr="00BF38EF">
        <w:rPr>
          <w:b/>
          <w:bCs/>
        </w:rPr>
        <w:t>:</w:t>
      </w:r>
      <w:r w:rsidRPr="00BF38EF">
        <w:rPr>
          <w:b/>
          <w:bCs/>
        </w:rPr>
        <w:t xml:space="preserve"> </w:t>
      </w:r>
      <w:r w:rsidR="00BF38EF">
        <w:rPr>
          <w:bCs/>
        </w:rPr>
        <w:t xml:space="preserve">[1] </w:t>
      </w:r>
      <w:r w:rsidRPr="00BF38EF">
        <w:t xml:space="preserve">On </w:t>
      </w:r>
      <w:r w:rsidR="00E5683B" w:rsidRPr="00BF38EF">
        <w:t xml:space="preserve">9 August 2013, </w:t>
      </w:r>
      <w:r w:rsidR="00952D7E" w:rsidRPr="00BF38EF">
        <w:t>t</w:t>
      </w:r>
      <w:r w:rsidR="00E5683B" w:rsidRPr="00BF38EF">
        <w:t>he State Prosecutor</w:t>
      </w:r>
      <w:r w:rsidRPr="00BF38EF">
        <w:t xml:space="preserve"> has filed a request for protection of legality </w:t>
      </w:r>
      <w:r w:rsidR="00BF38EF">
        <w:t>with</w:t>
      </w:r>
      <w:r w:rsidRPr="00BF38EF">
        <w:t xml:space="preserve"> the Appellate Panel, considering </w:t>
      </w:r>
      <w:r w:rsidR="00E5683B" w:rsidRPr="00BF38EF">
        <w:t>that i</w:t>
      </w:r>
      <w:r w:rsidRPr="00BF38EF">
        <w:t xml:space="preserve">n the </w:t>
      </w:r>
      <w:r w:rsidR="00BF38EF">
        <w:t>J</w:t>
      </w:r>
      <w:r w:rsidR="00E5683B" w:rsidRPr="00BF38EF">
        <w:t>udgments, m</w:t>
      </w:r>
      <w:r w:rsidR="00BF38EF">
        <w:t>entioned above under A, B and C</w:t>
      </w:r>
      <w:r w:rsidRPr="00BF38EF">
        <w:t xml:space="preserve"> on this legal matter, a violation of legal provisions has taken place</w:t>
      </w:r>
      <w:r w:rsidR="00E5683B" w:rsidRPr="00BF38EF">
        <w:t>.</w:t>
      </w:r>
    </w:p>
    <w:p w:rsidR="00BF38EF" w:rsidRDefault="00BF38EF" w:rsidP="001D7020">
      <w:pPr>
        <w:jc w:val="both"/>
      </w:pPr>
    </w:p>
    <w:p w:rsidR="00E5683B" w:rsidRPr="00BF38EF" w:rsidRDefault="00BF38EF" w:rsidP="001D7020">
      <w:pPr>
        <w:jc w:val="both"/>
      </w:pPr>
      <w:r>
        <w:t xml:space="preserve">[2] </w:t>
      </w:r>
      <w:r w:rsidR="00E5683B" w:rsidRPr="00BF38EF">
        <w:t>The State Prosecutor concludes that said judgments</w:t>
      </w:r>
      <w:r w:rsidR="005C6DB1" w:rsidRPr="00BF38EF">
        <w:t>/decisions</w:t>
      </w:r>
      <w:r w:rsidR="00E5683B" w:rsidRPr="00BF38EF">
        <w:t xml:space="preserve"> are to be annulled a</w:t>
      </w:r>
      <w:r w:rsidR="00AD6CEE" w:rsidRPr="00BF38EF">
        <w:t>n</w:t>
      </w:r>
      <w:r>
        <w:t>d the matter is to be sent</w:t>
      </w:r>
      <w:r w:rsidR="00E5683B" w:rsidRPr="00BF38EF">
        <w:t xml:space="preserve"> for retrial to the respective </w:t>
      </w:r>
      <w:r w:rsidR="00AD6CEE" w:rsidRPr="00BF38EF">
        <w:t>T</w:t>
      </w:r>
      <w:r w:rsidR="00E5683B" w:rsidRPr="00BF38EF">
        <w:t>rial Panel of the SCSC.</w:t>
      </w:r>
    </w:p>
    <w:p w:rsidR="00BF38EF" w:rsidRDefault="00BF38EF" w:rsidP="001D7020">
      <w:pPr>
        <w:jc w:val="both"/>
      </w:pPr>
    </w:p>
    <w:p w:rsidR="00856512" w:rsidRDefault="00856512" w:rsidP="001D7020">
      <w:pPr>
        <w:jc w:val="both"/>
        <w:rPr>
          <w:b/>
          <w:bCs/>
        </w:rPr>
      </w:pPr>
    </w:p>
    <w:p w:rsidR="00BF38EF" w:rsidRDefault="00A32ACA" w:rsidP="001D7020">
      <w:pPr>
        <w:jc w:val="both"/>
        <w:rPr>
          <w:b/>
          <w:bCs/>
          <w:u w:val="single"/>
        </w:rPr>
      </w:pPr>
      <w:r w:rsidRPr="00BF38EF">
        <w:rPr>
          <w:b/>
          <w:bCs/>
        </w:rPr>
        <w:t>Legal reasoning</w:t>
      </w:r>
      <w:r w:rsidR="00BF38EF" w:rsidRPr="00BF38EF">
        <w:rPr>
          <w:b/>
          <w:bCs/>
        </w:rPr>
        <w:t xml:space="preserve">: </w:t>
      </w:r>
      <w:r w:rsidR="00BF38EF" w:rsidRPr="00BF38EF">
        <w:rPr>
          <w:bCs/>
        </w:rPr>
        <w:t>[3]</w:t>
      </w:r>
      <w:r w:rsidR="00BF38EF">
        <w:rPr>
          <w:b/>
          <w:bCs/>
        </w:rPr>
        <w:t xml:space="preserve"> </w:t>
      </w:r>
      <w:proofErr w:type="gramStart"/>
      <w:r w:rsidR="00E5683B" w:rsidRPr="00BF38EF">
        <w:t>The</w:t>
      </w:r>
      <w:proofErr w:type="gramEnd"/>
      <w:r w:rsidR="00E5683B" w:rsidRPr="00BF38EF">
        <w:t xml:space="preserve"> r</w:t>
      </w:r>
      <w:r w:rsidRPr="00BF38EF">
        <w:t xml:space="preserve">equest for protection of legality filed by the </w:t>
      </w:r>
      <w:r w:rsidR="00754F81" w:rsidRPr="00BF38EF">
        <w:t>State Prosecutor</w:t>
      </w:r>
      <w:r w:rsidRPr="00BF38EF">
        <w:t xml:space="preserve"> is inadmissible. </w:t>
      </w:r>
    </w:p>
    <w:p w:rsidR="00BF38EF" w:rsidRDefault="00BF38EF" w:rsidP="001D7020">
      <w:pPr>
        <w:jc w:val="both"/>
        <w:rPr>
          <w:b/>
          <w:bCs/>
          <w:u w:val="single"/>
        </w:rPr>
      </w:pPr>
    </w:p>
    <w:p w:rsidR="00BF38EF" w:rsidRDefault="00BF38EF" w:rsidP="001D7020">
      <w:pPr>
        <w:jc w:val="both"/>
        <w:rPr>
          <w:b/>
          <w:bCs/>
          <w:u w:val="single"/>
        </w:rPr>
      </w:pPr>
      <w:r>
        <w:t xml:space="preserve">[4] </w:t>
      </w:r>
      <w:r w:rsidR="00A32ACA" w:rsidRPr="00BF38EF">
        <w:t>Pursuant to Art</w:t>
      </w:r>
      <w:r>
        <w:t xml:space="preserve"> </w:t>
      </w:r>
      <w:r w:rsidR="00856512">
        <w:t xml:space="preserve">64.1 of </w:t>
      </w:r>
      <w:r>
        <w:t>Annex</w:t>
      </w:r>
      <w:r w:rsidR="00A32ACA" w:rsidRPr="00BF38EF">
        <w:t>, the Appellate Panel decided to dis</w:t>
      </w:r>
      <w:r w:rsidR="009178C6" w:rsidRPr="00BF38EF">
        <w:t>pense with the oral proceedings</w:t>
      </w:r>
      <w:r w:rsidR="00A32ACA" w:rsidRPr="00BF38EF">
        <w:t>.</w:t>
      </w:r>
    </w:p>
    <w:p w:rsidR="00BF38EF" w:rsidRDefault="00BF38EF" w:rsidP="001D7020">
      <w:pPr>
        <w:jc w:val="both"/>
        <w:rPr>
          <w:b/>
          <w:bCs/>
          <w:u w:val="single"/>
        </w:rPr>
      </w:pPr>
    </w:p>
    <w:p w:rsidR="00A32ACA" w:rsidRPr="00BF38EF" w:rsidRDefault="00BF38EF" w:rsidP="001D7020">
      <w:pPr>
        <w:jc w:val="both"/>
        <w:rPr>
          <w:b/>
          <w:bCs/>
          <w:u w:val="single"/>
        </w:rPr>
      </w:pPr>
      <w:r>
        <w:t xml:space="preserve">[5] </w:t>
      </w:r>
      <w:r w:rsidR="00754F81" w:rsidRPr="00BF38EF">
        <w:t xml:space="preserve">The </w:t>
      </w:r>
      <w:r w:rsidR="00A32ACA" w:rsidRPr="00BF38EF">
        <w:t>Appellate Panel considers</w:t>
      </w:r>
      <w:r w:rsidR="00DE0F6F">
        <w:t xml:space="preserve"> that pursuant to Art</w:t>
      </w:r>
      <w:r w:rsidR="00097C6A">
        <w:t xml:space="preserve"> </w:t>
      </w:r>
      <w:r w:rsidR="00A32ACA" w:rsidRPr="00BF38EF">
        <w:t>10</w:t>
      </w:r>
      <w:r w:rsidR="00856512">
        <w:t xml:space="preserve">.14 of </w:t>
      </w:r>
      <w:r>
        <w:t>LSC, all judgments and d</w:t>
      </w:r>
      <w:r w:rsidR="00A32ACA" w:rsidRPr="00BF38EF">
        <w:t xml:space="preserve">ecisions of the </w:t>
      </w:r>
      <w:r w:rsidR="00AD6CEE" w:rsidRPr="00BF38EF">
        <w:t>A</w:t>
      </w:r>
      <w:r w:rsidR="00A32ACA" w:rsidRPr="00BF38EF">
        <w:t xml:space="preserve">ppellate </w:t>
      </w:r>
      <w:r w:rsidR="00AD6CEE" w:rsidRPr="00BF38EF">
        <w:t>P</w:t>
      </w:r>
      <w:r w:rsidR="00A32ACA" w:rsidRPr="00BF38EF">
        <w:t xml:space="preserve">anel are final and not subject to any further appeal. In addition, </w:t>
      </w:r>
      <w:r w:rsidR="00754F81" w:rsidRPr="00BF38EF">
        <w:t>the LSC</w:t>
      </w:r>
      <w:r w:rsidR="00A32ACA" w:rsidRPr="00BF38EF">
        <w:t xml:space="preserve"> and its Annex do not foresee any extraordinary remedy against such decisions or </w:t>
      </w:r>
      <w:r w:rsidR="00754F81" w:rsidRPr="00BF38EF">
        <w:t>judgments of the A</w:t>
      </w:r>
      <w:r w:rsidR="00A32ACA" w:rsidRPr="00BF38EF">
        <w:t>ppellate Panel (such extraordinary remedy i</w:t>
      </w:r>
      <w:r>
        <w:t xml:space="preserve">s neither foreseen by UNMIK Reg </w:t>
      </w:r>
      <w:r w:rsidR="00A32ACA" w:rsidRPr="00BF38EF">
        <w:t xml:space="preserve">2008/4 nor by UNMIK </w:t>
      </w:r>
      <w:r>
        <w:t>AD 2008/</w:t>
      </w:r>
      <w:r w:rsidR="00A32ACA" w:rsidRPr="00BF38EF">
        <w:t>6).</w:t>
      </w:r>
    </w:p>
    <w:p w:rsidR="00A32ACA" w:rsidRPr="00BF38EF" w:rsidRDefault="00A32ACA" w:rsidP="001D7020">
      <w:pPr>
        <w:jc w:val="both"/>
      </w:pPr>
    </w:p>
    <w:p w:rsidR="00A32ACA" w:rsidRPr="00BF38EF" w:rsidRDefault="00BF38EF" w:rsidP="001D7020">
      <w:pPr>
        <w:jc w:val="both"/>
      </w:pPr>
      <w:r>
        <w:t xml:space="preserve">[6] </w:t>
      </w:r>
      <w:r w:rsidR="00A32ACA" w:rsidRPr="00BF38EF">
        <w:t>The Appellate Panel finds that the case</w:t>
      </w:r>
      <w:r w:rsidR="00754F81" w:rsidRPr="00BF38EF">
        <w:t>s</w:t>
      </w:r>
      <w:r w:rsidR="00A32ACA" w:rsidRPr="00BF38EF">
        <w:t xml:space="preserve"> at hand, </w:t>
      </w:r>
      <w:r w:rsidR="00754F81" w:rsidRPr="00BF38EF">
        <w:t>a</w:t>
      </w:r>
      <w:r>
        <w:t>s mentioned above sub A, B and C</w:t>
      </w:r>
      <w:r w:rsidR="00A32ACA" w:rsidRPr="00BF38EF">
        <w:t xml:space="preserve"> </w:t>
      </w:r>
      <w:r w:rsidR="00754F81" w:rsidRPr="00BF38EF">
        <w:t>are</w:t>
      </w:r>
      <w:r w:rsidR="00A32ACA" w:rsidRPr="00BF38EF">
        <w:t xml:space="preserve"> already decided </w:t>
      </w:r>
      <w:r w:rsidR="00754F81" w:rsidRPr="00BF38EF">
        <w:t xml:space="preserve">and all legal remedies have been exhausted after </w:t>
      </w:r>
      <w:r w:rsidR="00A32ACA" w:rsidRPr="00BF38EF">
        <w:t xml:space="preserve">the </w:t>
      </w:r>
      <w:r w:rsidR="00754F81" w:rsidRPr="00BF38EF">
        <w:t>A</w:t>
      </w:r>
      <w:r w:rsidR="00A32ACA" w:rsidRPr="00BF38EF">
        <w:t xml:space="preserve">ppellate </w:t>
      </w:r>
      <w:r w:rsidR="005C6DB1" w:rsidRPr="00BF38EF">
        <w:t>P</w:t>
      </w:r>
      <w:r w:rsidR="00A32ACA" w:rsidRPr="00BF38EF">
        <w:t xml:space="preserve">anel`s </w:t>
      </w:r>
      <w:r>
        <w:t>D</w:t>
      </w:r>
      <w:r w:rsidR="005C6DB1" w:rsidRPr="00BF38EF">
        <w:t xml:space="preserve">ecision </w:t>
      </w:r>
      <w:r w:rsidR="00A32ACA" w:rsidRPr="00BF38EF">
        <w:t xml:space="preserve">of </w:t>
      </w:r>
      <w:r w:rsidR="00754F81" w:rsidRPr="00BF38EF">
        <w:t xml:space="preserve">30 April 2013 </w:t>
      </w:r>
      <w:r w:rsidR="00A32ACA" w:rsidRPr="00BF38EF">
        <w:t xml:space="preserve">which became final on the same day. Therefore, the request for protection of legality, as an extraordinary remedy, may not be applied against such </w:t>
      </w:r>
      <w:r w:rsidR="00754F81" w:rsidRPr="00BF38EF">
        <w:t>decisions</w:t>
      </w:r>
      <w:r w:rsidR="00A32ACA" w:rsidRPr="00BF38EF">
        <w:t>, so, it is dismissed as inadmissible.</w:t>
      </w:r>
    </w:p>
    <w:p w:rsidR="00A32ACA" w:rsidRPr="00BF38EF" w:rsidRDefault="00A32ACA" w:rsidP="001D7020">
      <w:pPr>
        <w:jc w:val="both"/>
      </w:pPr>
    </w:p>
    <w:p w:rsidR="00A32ACA" w:rsidRPr="00BF38EF" w:rsidRDefault="009B2695" w:rsidP="001D7020">
      <w:pPr>
        <w:jc w:val="both"/>
      </w:pPr>
      <w:r>
        <w:t xml:space="preserve">[7] </w:t>
      </w:r>
      <w:r w:rsidR="00A32ACA" w:rsidRPr="00BF38EF">
        <w:t xml:space="preserve">Based on the above mentioned arguments and pursuant </w:t>
      </w:r>
      <w:r w:rsidR="00DE0F6F">
        <w:t>to Art</w:t>
      </w:r>
      <w:r w:rsidR="00A32ACA" w:rsidRPr="00BF38EF">
        <w:t xml:space="preserve"> 10.10</w:t>
      </w:r>
      <w:r w:rsidR="00856512">
        <w:t xml:space="preserve"> of </w:t>
      </w:r>
      <w:r w:rsidR="00A32ACA" w:rsidRPr="00BF38EF">
        <w:t xml:space="preserve">LSC, the </w:t>
      </w:r>
      <w:r w:rsidR="008B33B1" w:rsidRPr="00BF38EF">
        <w:t>A</w:t>
      </w:r>
      <w:r w:rsidR="00A32ACA" w:rsidRPr="00BF38EF">
        <w:t xml:space="preserve">ppellate </w:t>
      </w:r>
      <w:r w:rsidR="008B33B1" w:rsidRPr="00BF38EF">
        <w:t>P</w:t>
      </w:r>
      <w:r w:rsidR="00A32ACA" w:rsidRPr="00BF38EF">
        <w:t>anel decided as in the enacting clause of this Decision.</w:t>
      </w:r>
    </w:p>
    <w:p w:rsidR="00754F81" w:rsidRPr="00BF38EF" w:rsidRDefault="00754F81" w:rsidP="001D7020">
      <w:pPr>
        <w:jc w:val="both"/>
      </w:pPr>
    </w:p>
    <w:p w:rsidR="0033254A" w:rsidRPr="00BF38EF" w:rsidRDefault="009B2695" w:rsidP="001D7020">
      <w:pPr>
        <w:jc w:val="both"/>
      </w:pPr>
      <w:r>
        <w:t xml:space="preserve">[8] </w:t>
      </w:r>
      <w:r w:rsidR="0033254A" w:rsidRPr="00BF38EF">
        <w:t xml:space="preserve">The request for protection of legality submitted by the State Prosecutor pursuant to provisions of </w:t>
      </w:r>
      <w:r w:rsidR="00DE0F6F">
        <w:t xml:space="preserve">the </w:t>
      </w:r>
      <w:r w:rsidR="0033254A" w:rsidRPr="00BF38EF">
        <w:t>LCP</w:t>
      </w:r>
      <w:r w:rsidR="00DE0F6F">
        <w:t xml:space="preserve"> on behalf of one party</w:t>
      </w:r>
      <w:r w:rsidR="0033254A" w:rsidRPr="00BF38EF">
        <w:t xml:space="preserve"> may apply for this extraordinary legal remedy against a final decision of lower instance Courts, but not</w:t>
      </w:r>
      <w:r w:rsidR="00E541B6" w:rsidRPr="00BF38EF">
        <w:t xml:space="preserve"> against a </w:t>
      </w:r>
      <w:r w:rsidR="00754F81" w:rsidRPr="00BF38EF">
        <w:t>final</w:t>
      </w:r>
      <w:r w:rsidR="00E541B6" w:rsidRPr="00BF38EF">
        <w:t xml:space="preserve"> decision of the Appellate Panel of the SCSC because as it was m</w:t>
      </w:r>
      <w:r w:rsidR="00DE0F6F">
        <w:t>entioned above Art</w:t>
      </w:r>
      <w:r w:rsidR="00856512">
        <w:t xml:space="preserve"> 10.14 of</w:t>
      </w:r>
      <w:r w:rsidR="00DE0F6F">
        <w:t xml:space="preserve"> </w:t>
      </w:r>
      <w:r w:rsidR="00E541B6" w:rsidRPr="00BF38EF">
        <w:t xml:space="preserve">LSC prevents such possibility.  </w:t>
      </w:r>
    </w:p>
    <w:p w:rsidR="00A32ACA" w:rsidRDefault="00A32ACA" w:rsidP="001D7020">
      <w:pPr>
        <w:jc w:val="both"/>
      </w:pPr>
    </w:p>
    <w:p w:rsidR="00813A59" w:rsidRPr="00BF38EF" w:rsidRDefault="00813A59" w:rsidP="001D7020">
      <w:pPr>
        <w:jc w:val="both"/>
      </w:pPr>
    </w:p>
    <w:sectPr w:rsidR="00813A59" w:rsidRPr="00BF38EF" w:rsidSect="00580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6190"/>
    <w:multiLevelType w:val="hybridMultilevel"/>
    <w:tmpl w:val="2758A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D6A81"/>
    <w:multiLevelType w:val="hybridMultilevel"/>
    <w:tmpl w:val="1416D39E"/>
    <w:lvl w:ilvl="0" w:tplc="C338B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A96232"/>
    <w:multiLevelType w:val="hybridMultilevel"/>
    <w:tmpl w:val="426EC1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FB"/>
    <w:rsid w:val="000317FA"/>
    <w:rsid w:val="0006029B"/>
    <w:rsid w:val="00097C6A"/>
    <w:rsid w:val="000B53C7"/>
    <w:rsid w:val="000C1DA7"/>
    <w:rsid w:val="000F64AC"/>
    <w:rsid w:val="00101702"/>
    <w:rsid w:val="001B2C3F"/>
    <w:rsid w:val="001D5D5B"/>
    <w:rsid w:val="001D7020"/>
    <w:rsid w:val="001F4373"/>
    <w:rsid w:val="001F5FFD"/>
    <w:rsid w:val="002013EE"/>
    <w:rsid w:val="002167F0"/>
    <w:rsid w:val="002463CF"/>
    <w:rsid w:val="00272357"/>
    <w:rsid w:val="00272475"/>
    <w:rsid w:val="002C7361"/>
    <w:rsid w:val="0031081B"/>
    <w:rsid w:val="0033254A"/>
    <w:rsid w:val="00335F64"/>
    <w:rsid w:val="00362400"/>
    <w:rsid w:val="00376B51"/>
    <w:rsid w:val="00380147"/>
    <w:rsid w:val="003A432F"/>
    <w:rsid w:val="003C5FBE"/>
    <w:rsid w:val="00416277"/>
    <w:rsid w:val="00425380"/>
    <w:rsid w:val="00436A30"/>
    <w:rsid w:val="0044320C"/>
    <w:rsid w:val="004A1F07"/>
    <w:rsid w:val="004F5DB0"/>
    <w:rsid w:val="0050138C"/>
    <w:rsid w:val="00517EFD"/>
    <w:rsid w:val="005312DD"/>
    <w:rsid w:val="00572AB5"/>
    <w:rsid w:val="005808B4"/>
    <w:rsid w:val="005C6DB1"/>
    <w:rsid w:val="005F7FF0"/>
    <w:rsid w:val="006115FB"/>
    <w:rsid w:val="006144FA"/>
    <w:rsid w:val="006356A4"/>
    <w:rsid w:val="00643EF7"/>
    <w:rsid w:val="006B6A0E"/>
    <w:rsid w:val="006C199B"/>
    <w:rsid w:val="00754F81"/>
    <w:rsid w:val="00784DDE"/>
    <w:rsid w:val="00792DA8"/>
    <w:rsid w:val="007C0F48"/>
    <w:rsid w:val="007C7C9A"/>
    <w:rsid w:val="0080183C"/>
    <w:rsid w:val="00813A59"/>
    <w:rsid w:val="00820C9E"/>
    <w:rsid w:val="008350F1"/>
    <w:rsid w:val="00847E66"/>
    <w:rsid w:val="00856512"/>
    <w:rsid w:val="00862AC8"/>
    <w:rsid w:val="008B1328"/>
    <w:rsid w:val="008B33B1"/>
    <w:rsid w:val="008C519C"/>
    <w:rsid w:val="008F7C87"/>
    <w:rsid w:val="00906F68"/>
    <w:rsid w:val="00911CF5"/>
    <w:rsid w:val="009178C6"/>
    <w:rsid w:val="0093026C"/>
    <w:rsid w:val="0093605E"/>
    <w:rsid w:val="0094646D"/>
    <w:rsid w:val="00952D7E"/>
    <w:rsid w:val="009A7EBA"/>
    <w:rsid w:val="009B2695"/>
    <w:rsid w:val="009F13F6"/>
    <w:rsid w:val="00A20CCC"/>
    <w:rsid w:val="00A32ACA"/>
    <w:rsid w:val="00A7166F"/>
    <w:rsid w:val="00AA1CDE"/>
    <w:rsid w:val="00AD6CEE"/>
    <w:rsid w:val="00AE2DDE"/>
    <w:rsid w:val="00B76F81"/>
    <w:rsid w:val="00B8040A"/>
    <w:rsid w:val="00B96F44"/>
    <w:rsid w:val="00BF38EF"/>
    <w:rsid w:val="00C71CB9"/>
    <w:rsid w:val="00CA7037"/>
    <w:rsid w:val="00CB4279"/>
    <w:rsid w:val="00CE3174"/>
    <w:rsid w:val="00D65806"/>
    <w:rsid w:val="00DE0F6F"/>
    <w:rsid w:val="00DE163C"/>
    <w:rsid w:val="00E17914"/>
    <w:rsid w:val="00E23996"/>
    <w:rsid w:val="00E541B6"/>
    <w:rsid w:val="00E5683B"/>
    <w:rsid w:val="00E92EB2"/>
    <w:rsid w:val="00E956F3"/>
    <w:rsid w:val="00F25F4B"/>
    <w:rsid w:val="00FA4AEE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6F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51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C519C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101702"/>
    <w:rPr>
      <w:rFonts w:ascii="Times New Roman" w:eastAsia="Times New Roman" w:hAnsi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EE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E0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6F"/>
    <w:rPr>
      <w:rFonts w:ascii="Times New Roman" w:eastAsia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6F"/>
    <w:rPr>
      <w:rFonts w:ascii="Times New Roman" w:eastAsia="Times New Roman" w:hAnsi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6F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51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C519C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101702"/>
    <w:rPr>
      <w:rFonts w:ascii="Times New Roman" w:eastAsia="Times New Roman" w:hAnsi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EE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E0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6F"/>
    <w:rPr>
      <w:rFonts w:ascii="Times New Roman" w:eastAsia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6F"/>
    <w:rPr>
      <w:rFonts w:ascii="Times New Roman" w:eastAsia="Times New Roman" w:hAnsi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81C9-4F5D-479A-8D56-F689BA91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DHOMA E POSAÇME E GJYKATËS SUPREME TË KOSOVËS PËR ÇËSHTJE QË LIDHEN ME AGJENSINË KOSOVARE TË PRIVATIZIMIT</vt:lpstr>
    </vt:vector>
  </TitlesOfParts>
  <Company>Keshilli GJyqesor i Kosoves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DHOMA E POSAÇME E GJYKATËS SUPREME TË KOSOVËS PËR ÇËSHTJE QË LIDHEN ME AGJENSINË KOSOVARE TË PRIVATIZIMIT</dc:title>
  <dc:creator>Mentor Halilaj</dc:creator>
  <cp:lastModifiedBy>Timo Knaebe</cp:lastModifiedBy>
  <cp:revision>3</cp:revision>
  <dcterms:created xsi:type="dcterms:W3CDTF">2015-11-30T14:39:00Z</dcterms:created>
  <dcterms:modified xsi:type="dcterms:W3CDTF">2015-11-30T14:39:00Z</dcterms:modified>
</cp:coreProperties>
</file>