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224"/>
        <w:tblW w:w="918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260"/>
        <w:gridCol w:w="2835"/>
      </w:tblGrid>
      <w:tr w:rsidR="006345B3" w:rsidRPr="00D07C84" w:rsidTr="00E73D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B3" w:rsidRPr="00D07C84" w:rsidRDefault="006345B3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DHOMA E POSAÇME E GJYKATËS SUPREME TË KOSOVËS PËR ÇËSHTJE QË LIDHEN ME AGJENSINË KOSOVARE TË PRIVATIZIMIT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B3" w:rsidRPr="00D07C84" w:rsidRDefault="006345B3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SPECIAL CHAMBER OF THE SUPREME COURT OF KOSOVO ON PRIVATIZATION AGENCY OF KOSOVO RELATED MATTERS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B3" w:rsidRPr="00D07C84" w:rsidRDefault="006345B3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POSEBNA KOMORA VRHOVNOG SUDA KOSOVA ZA PITANJA KOJA SE ODNOSE NA KOSOVSKU AGENCIJU ZA PRIVATIZACIJU</w:t>
            </w:r>
          </w:p>
        </w:tc>
      </w:tr>
    </w:tbl>
    <w:p w:rsidR="002553F6" w:rsidRPr="006345B3" w:rsidRDefault="002553F6" w:rsidP="009A5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E602AE" w:rsidRPr="00E602AE" w:rsidRDefault="00E602AE" w:rsidP="009A5A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E602AE">
        <w:rPr>
          <w:rFonts w:ascii="Times New Roman" w:hAnsi="Times New Roman" w:cs="Times New Roman"/>
          <w:i/>
          <w:sz w:val="24"/>
          <w:szCs w:val="24"/>
          <w:lang w:val="sq-AL"/>
        </w:rPr>
        <w:t>Aktvendimi i datës 2</w:t>
      </w:r>
      <w:r w:rsidR="005547E9">
        <w:rPr>
          <w:rFonts w:ascii="Times New Roman" w:hAnsi="Times New Roman" w:cs="Times New Roman"/>
          <w:i/>
          <w:sz w:val="24"/>
          <w:szCs w:val="24"/>
          <w:lang w:val="sq-AL"/>
        </w:rPr>
        <w:t>7</w:t>
      </w:r>
      <w:r w:rsidRPr="00E602AE">
        <w:rPr>
          <w:rFonts w:ascii="Times New Roman" w:hAnsi="Times New Roman" w:cs="Times New Roman"/>
          <w:i/>
          <w:sz w:val="24"/>
          <w:szCs w:val="24"/>
          <w:lang w:val="sq-AL"/>
        </w:rPr>
        <w:t xml:space="preserve"> shkurt 2014 – AC-II.-12-0169 </w:t>
      </w:r>
      <w:bookmarkStart w:id="0" w:name="_GoBack"/>
      <w:bookmarkEnd w:id="0"/>
    </w:p>
    <w:p w:rsidR="00E602AE" w:rsidRPr="009A5A8E" w:rsidRDefault="00E602AE" w:rsidP="009A5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61A87" w:rsidRPr="009A5A8E" w:rsidRDefault="009F0CB7" w:rsidP="009A5A8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9A5A8E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Rrethanat procedurale dhe faktike: </w:t>
      </w:r>
      <w:r w:rsidR="00E602AE" w:rsidRPr="00E602AE">
        <w:rPr>
          <w:rFonts w:ascii="Times New Roman" w:hAnsi="Times New Roman" w:cs="Times New Roman"/>
          <w:sz w:val="24"/>
          <w:szCs w:val="24"/>
          <w:lang w:val="sq-AL"/>
        </w:rPr>
        <w:t xml:space="preserve">[1] </w:t>
      </w:r>
      <w:r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Më 19 korrik 2006, paditësi parashtroi padi në DHPGJS me të cilën kërkoi të drejtat pronësore mbi ngastrën </w:t>
      </w:r>
      <w:proofErr w:type="spellStart"/>
      <w:r w:rsidRPr="009A5A8E">
        <w:rPr>
          <w:rFonts w:ascii="Times New Roman" w:hAnsi="Times New Roman" w:cs="Times New Roman"/>
          <w:sz w:val="24"/>
          <w:szCs w:val="24"/>
          <w:lang w:val="sq-AL"/>
        </w:rPr>
        <w:t>kadastrale</w:t>
      </w:r>
      <w:proofErr w:type="spellEnd"/>
      <w:r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numër </w:t>
      </w:r>
      <w:r w:rsidR="00E602AE">
        <w:rPr>
          <w:rFonts w:ascii="Times New Roman" w:hAnsi="Times New Roman" w:cs="Times New Roman"/>
          <w:sz w:val="24"/>
          <w:szCs w:val="24"/>
          <w:lang w:val="sq-AL"/>
        </w:rPr>
        <w:t>...</w:t>
      </w:r>
      <w:r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në sipërfaqe prej </w:t>
      </w:r>
      <w:r w:rsidR="00E602AE">
        <w:rPr>
          <w:rFonts w:ascii="Times New Roman" w:hAnsi="Times New Roman" w:cs="Times New Roman"/>
          <w:sz w:val="24"/>
          <w:szCs w:val="24"/>
          <w:lang w:val="sq-AL"/>
        </w:rPr>
        <w:t>...</w:t>
      </w:r>
      <w:r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ha “A e B”,</w:t>
      </w:r>
      <w:r w:rsidR="00A6310E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A6310E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ngastrën </w:t>
      </w:r>
      <w:proofErr w:type="spellStart"/>
      <w:r w:rsidR="00A6310E" w:rsidRPr="009A5A8E">
        <w:rPr>
          <w:rFonts w:ascii="Times New Roman" w:hAnsi="Times New Roman" w:cs="Times New Roman"/>
          <w:sz w:val="24"/>
          <w:szCs w:val="24"/>
          <w:lang w:val="sq-AL"/>
        </w:rPr>
        <w:t>kadastrale</w:t>
      </w:r>
      <w:proofErr w:type="spellEnd"/>
      <w:r w:rsidR="00A6310E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numër </w:t>
      </w:r>
      <w:r w:rsidR="00E602AE">
        <w:rPr>
          <w:rFonts w:ascii="Times New Roman" w:hAnsi="Times New Roman" w:cs="Times New Roman"/>
          <w:sz w:val="24"/>
          <w:szCs w:val="24"/>
          <w:lang w:val="sq-AL"/>
        </w:rPr>
        <w:t>...</w:t>
      </w:r>
      <w:r w:rsidR="00A6310E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tek “F” në sipërfaqe prej </w:t>
      </w:r>
      <w:r w:rsidR="00E602AE">
        <w:rPr>
          <w:rFonts w:ascii="Times New Roman" w:hAnsi="Times New Roman" w:cs="Times New Roman"/>
          <w:sz w:val="24"/>
          <w:szCs w:val="24"/>
          <w:lang w:val="sq-AL"/>
        </w:rPr>
        <w:t>...</w:t>
      </w:r>
      <w:r w:rsidR="00A6310E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ha, </w:t>
      </w:r>
      <w:r w:rsidR="00A6310E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ngastrën </w:t>
      </w:r>
      <w:proofErr w:type="spellStart"/>
      <w:r w:rsidR="00A6310E" w:rsidRPr="009A5A8E">
        <w:rPr>
          <w:rFonts w:ascii="Times New Roman" w:hAnsi="Times New Roman" w:cs="Times New Roman"/>
          <w:sz w:val="24"/>
          <w:szCs w:val="24"/>
          <w:lang w:val="sq-AL"/>
        </w:rPr>
        <w:t>kadastrale</w:t>
      </w:r>
      <w:proofErr w:type="spellEnd"/>
      <w:r w:rsidR="00A6310E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numër </w:t>
      </w:r>
      <w:r w:rsidR="00E602AE">
        <w:rPr>
          <w:rFonts w:ascii="Times New Roman" w:hAnsi="Times New Roman" w:cs="Times New Roman"/>
          <w:sz w:val="24"/>
          <w:szCs w:val="24"/>
          <w:lang w:val="sq-AL"/>
        </w:rPr>
        <w:t>...</w:t>
      </w:r>
      <w:r w:rsidR="00A471DE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A6310E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tek </w:t>
      </w:r>
      <w:r w:rsidR="000C0B76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“S” </w:t>
      </w:r>
      <w:r w:rsidR="00A6310E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në sipërfaqe prej </w:t>
      </w:r>
      <w:r w:rsidR="00E602AE">
        <w:rPr>
          <w:rFonts w:ascii="Times New Roman" w:hAnsi="Times New Roman" w:cs="Times New Roman"/>
          <w:sz w:val="24"/>
          <w:szCs w:val="24"/>
          <w:lang w:val="sq-AL"/>
        </w:rPr>
        <w:t>...</w:t>
      </w:r>
      <w:r w:rsidR="00A471DE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2A1909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ha, </w:t>
      </w:r>
      <w:r w:rsidR="00A6310E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ngastrën </w:t>
      </w:r>
      <w:proofErr w:type="spellStart"/>
      <w:r w:rsidR="00A6310E" w:rsidRPr="009A5A8E">
        <w:rPr>
          <w:rFonts w:ascii="Times New Roman" w:hAnsi="Times New Roman" w:cs="Times New Roman"/>
          <w:sz w:val="24"/>
          <w:szCs w:val="24"/>
          <w:lang w:val="sq-AL"/>
        </w:rPr>
        <w:t>kadastrale</w:t>
      </w:r>
      <w:proofErr w:type="spellEnd"/>
      <w:r w:rsidR="00A6310E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numër </w:t>
      </w:r>
      <w:r w:rsidR="00E602AE">
        <w:rPr>
          <w:rFonts w:ascii="Times New Roman" w:hAnsi="Times New Roman" w:cs="Times New Roman"/>
          <w:sz w:val="24"/>
          <w:szCs w:val="24"/>
          <w:lang w:val="sq-AL"/>
        </w:rPr>
        <w:t>...</w:t>
      </w:r>
      <w:r w:rsidR="002A1909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A6310E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tek </w:t>
      </w:r>
      <w:r w:rsidR="000C0B76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“S” </w:t>
      </w:r>
      <w:r w:rsidR="00A6310E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në sipërfaqe prej </w:t>
      </w:r>
      <w:r w:rsidR="00E602AE">
        <w:rPr>
          <w:rFonts w:ascii="Times New Roman" w:hAnsi="Times New Roman" w:cs="Times New Roman"/>
          <w:sz w:val="24"/>
          <w:szCs w:val="24"/>
          <w:lang w:val="sq-AL"/>
        </w:rPr>
        <w:t>...</w:t>
      </w:r>
      <w:r w:rsidR="00A471DE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ha </w:t>
      </w:r>
      <w:r w:rsidR="00A6310E" w:rsidRPr="009A5A8E">
        <w:rPr>
          <w:rFonts w:ascii="Times New Roman" w:hAnsi="Times New Roman" w:cs="Times New Roman"/>
          <w:bCs/>
          <w:sz w:val="24"/>
          <w:szCs w:val="24"/>
          <w:lang w:val="sq-AL"/>
        </w:rPr>
        <w:t>dhe</w:t>
      </w:r>
      <w:r w:rsidR="00A471DE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A6310E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ngastrën </w:t>
      </w:r>
      <w:proofErr w:type="spellStart"/>
      <w:r w:rsidR="00A6310E" w:rsidRPr="009A5A8E">
        <w:rPr>
          <w:rFonts w:ascii="Times New Roman" w:hAnsi="Times New Roman" w:cs="Times New Roman"/>
          <w:sz w:val="24"/>
          <w:szCs w:val="24"/>
          <w:lang w:val="sq-AL"/>
        </w:rPr>
        <w:t>kadastrale</w:t>
      </w:r>
      <w:proofErr w:type="spellEnd"/>
      <w:r w:rsidR="00A6310E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numër </w:t>
      </w:r>
      <w:r w:rsidR="00E602AE">
        <w:rPr>
          <w:rFonts w:ascii="Times New Roman" w:hAnsi="Times New Roman" w:cs="Times New Roman"/>
          <w:sz w:val="24"/>
          <w:szCs w:val="24"/>
          <w:lang w:val="sq-AL"/>
        </w:rPr>
        <w:t>...</w:t>
      </w:r>
      <w:r w:rsidR="00A471DE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A6310E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tek </w:t>
      </w:r>
      <w:r w:rsidR="000C0B76" w:rsidRPr="009A5A8E">
        <w:rPr>
          <w:rFonts w:ascii="Times New Roman" w:hAnsi="Times New Roman" w:cs="Times New Roman"/>
          <w:bCs/>
          <w:sz w:val="24"/>
          <w:szCs w:val="24"/>
          <w:lang w:val="sq-AL"/>
        </w:rPr>
        <w:t>“S</w:t>
      </w:r>
      <w:r w:rsidR="00E602AE">
        <w:rPr>
          <w:rFonts w:ascii="Times New Roman" w:hAnsi="Times New Roman" w:cs="Times New Roman"/>
          <w:bCs/>
          <w:sz w:val="24"/>
          <w:szCs w:val="24"/>
          <w:lang w:val="sq-AL"/>
        </w:rPr>
        <w:t>...</w:t>
      </w:r>
      <w:r w:rsidR="000C0B76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” </w:t>
      </w:r>
      <w:r w:rsidR="00A6310E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në sipërfaqe prej </w:t>
      </w:r>
      <w:r w:rsidR="00E602AE">
        <w:rPr>
          <w:rFonts w:ascii="Times New Roman" w:hAnsi="Times New Roman" w:cs="Times New Roman"/>
          <w:sz w:val="24"/>
          <w:szCs w:val="24"/>
          <w:lang w:val="sq-AL"/>
        </w:rPr>
        <w:t>...</w:t>
      </w:r>
      <w:r w:rsidR="00A471DE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ha, </w:t>
      </w:r>
      <w:r w:rsidR="00A6310E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secila prej ngastrave </w:t>
      </w:r>
      <w:proofErr w:type="spellStart"/>
      <w:r w:rsidR="00A6310E" w:rsidRPr="009A5A8E">
        <w:rPr>
          <w:rFonts w:ascii="Times New Roman" w:hAnsi="Times New Roman" w:cs="Times New Roman"/>
          <w:bCs/>
          <w:sz w:val="24"/>
          <w:szCs w:val="24"/>
          <w:lang w:val="sq-AL"/>
        </w:rPr>
        <w:t>kadastrale</w:t>
      </w:r>
      <w:proofErr w:type="spellEnd"/>
      <w:r w:rsidR="00A6310E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të përmendura të regjistrua</w:t>
      </w:r>
      <w:r w:rsidR="00E602AE">
        <w:rPr>
          <w:rFonts w:ascii="Times New Roman" w:hAnsi="Times New Roman" w:cs="Times New Roman"/>
          <w:bCs/>
          <w:sz w:val="24"/>
          <w:szCs w:val="24"/>
          <w:lang w:val="sq-AL"/>
        </w:rPr>
        <w:t>ra sipas fletës poseduese numër...</w:t>
      </w:r>
      <w:r w:rsidR="00A471DE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. </w:t>
      </w:r>
    </w:p>
    <w:p w:rsidR="00A6310E" w:rsidRPr="009A5A8E" w:rsidRDefault="00E602AE" w:rsidP="009A5A8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[2] </w:t>
      </w:r>
      <w:r w:rsidR="00A6310E" w:rsidRPr="009A5A8E">
        <w:rPr>
          <w:rFonts w:ascii="Times New Roman" w:hAnsi="Times New Roman" w:cs="Times New Roman"/>
          <w:bCs/>
          <w:sz w:val="24"/>
          <w:szCs w:val="24"/>
          <w:lang w:val="sq-AL"/>
        </w:rPr>
        <w:t>DHPGJS-ja, me aktvendimin SCC-06-0334, të datës 10 tetor 2006, e referoi padinë në Gjykatën Komunale të M</w:t>
      </w:r>
      <w:r w:rsidR="005547E9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  <w:r w:rsidR="00A6310E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me të drejtë ankese në DHPGJS.</w:t>
      </w:r>
    </w:p>
    <w:p w:rsidR="00A471DE" w:rsidRPr="009A5A8E" w:rsidRDefault="00E602AE" w:rsidP="009A5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[3] </w:t>
      </w:r>
      <w:r w:rsidR="00A6310E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Më 29 mars 2007, grupi i parë i </w:t>
      </w:r>
      <w:r w:rsidR="00A6310E" w:rsidRPr="009A5A8E">
        <w:rPr>
          <w:rFonts w:ascii="Times New Roman" w:hAnsi="Times New Roman" w:cs="Times New Roman"/>
          <w:bCs/>
          <w:i/>
          <w:sz w:val="24"/>
          <w:szCs w:val="24"/>
          <w:lang w:val="sq-AL"/>
        </w:rPr>
        <w:t>ndërhyrësve,</w:t>
      </w:r>
      <w:r w:rsidR="00A6310E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6310E" w:rsidRPr="005547E9">
        <w:rPr>
          <w:rFonts w:ascii="Times New Roman" w:hAnsi="Times New Roman" w:cs="Times New Roman"/>
          <w:i/>
          <w:sz w:val="24"/>
          <w:szCs w:val="24"/>
          <w:lang w:val="sq-AL"/>
        </w:rPr>
        <w:t>J M, H M, N M, Z M</w:t>
      </w:r>
      <w:r w:rsidR="00A6310E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A6310E" w:rsidRPr="005547E9">
        <w:rPr>
          <w:rFonts w:ascii="Times New Roman" w:hAnsi="Times New Roman" w:cs="Times New Roman"/>
          <w:i/>
          <w:sz w:val="24"/>
          <w:szCs w:val="24"/>
          <w:lang w:val="sq-AL"/>
        </w:rPr>
        <w:t>Sh M</w:t>
      </w:r>
      <w:r w:rsidR="00A6310E" w:rsidRPr="009A5A8E">
        <w:rPr>
          <w:rFonts w:ascii="Times New Roman" w:hAnsi="Times New Roman" w:cs="Times New Roman"/>
          <w:sz w:val="24"/>
          <w:szCs w:val="24"/>
          <w:lang w:val="sq-AL"/>
        </w:rPr>
        <w:t>, secili i përfaqësuar nga</w:t>
      </w:r>
      <w:r w:rsidR="00A6310E" w:rsidRPr="009A5A8E">
        <w:rPr>
          <w:rFonts w:ascii="Times New Roman" w:hAnsi="Times New Roman" w:cs="Times New Roman"/>
          <w:bCs/>
          <w:i/>
          <w:sz w:val="24"/>
          <w:szCs w:val="24"/>
          <w:lang w:val="sq-AL"/>
        </w:rPr>
        <w:t xml:space="preserve"> </w:t>
      </w:r>
      <w:r w:rsidR="00A6310E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F84598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avokati </w:t>
      </w:r>
      <w:r w:rsidR="00F84598" w:rsidRPr="005547E9">
        <w:rPr>
          <w:rFonts w:ascii="Times New Roman" w:hAnsi="Times New Roman" w:cs="Times New Roman"/>
          <w:bCs/>
          <w:i/>
          <w:sz w:val="24"/>
          <w:szCs w:val="24"/>
          <w:lang w:val="sq-AL"/>
        </w:rPr>
        <w:t>A M</w:t>
      </w:r>
      <w:r w:rsidR="00F84598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, paraqitën kërkesë pranë Gjykatës Komunale për bashkim të lëndës pasi që kishin interes </w:t>
      </w:r>
      <w:r w:rsidR="005547E9">
        <w:rPr>
          <w:rFonts w:ascii="Times New Roman" w:hAnsi="Times New Roman" w:cs="Times New Roman"/>
          <w:bCs/>
          <w:sz w:val="24"/>
          <w:szCs w:val="24"/>
          <w:lang w:val="sq-AL"/>
        </w:rPr>
        <w:t>[</w:t>
      </w:r>
      <w:r w:rsidR="005547E9" w:rsidRPr="00681B63">
        <w:rPr>
          <w:rFonts w:ascii="Times New Roman" w:hAnsi="Times New Roman" w:cs="Times New Roman"/>
          <w:bCs/>
          <w:sz w:val="24"/>
          <w:szCs w:val="24"/>
          <w:lang w:val="sq-AL"/>
        </w:rPr>
        <w:t>të përbashkët</w:t>
      </w:r>
      <w:r w:rsidR="005547E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] </w:t>
      </w:r>
      <w:r w:rsidR="00F84598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pronësor dhe ligjor në padinë e paditësit. </w:t>
      </w:r>
    </w:p>
    <w:p w:rsidR="004A621A" w:rsidRPr="009A5A8E" w:rsidRDefault="00E602AE" w:rsidP="009A5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[4] </w:t>
      </w:r>
      <w:r w:rsidR="00F84598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Më 7 nëntor 2009, paditësi dorëzoi një plotësim të padisë dhe kërkoi të shtojë si të paditur në padi </w:t>
      </w:r>
      <w:r w:rsidR="00F84598" w:rsidRPr="00BA26D0">
        <w:rPr>
          <w:rFonts w:ascii="Times New Roman" w:hAnsi="Times New Roman" w:cs="Times New Roman"/>
          <w:i/>
          <w:sz w:val="24"/>
          <w:szCs w:val="24"/>
          <w:lang w:val="sq-AL"/>
        </w:rPr>
        <w:t>M R M, Z O M, V M, S</w:t>
      </w:r>
      <w:r w:rsidR="00BA26D0">
        <w:rPr>
          <w:rFonts w:ascii="Times New Roman" w:hAnsi="Times New Roman" w:cs="Times New Roman"/>
          <w:i/>
          <w:sz w:val="24"/>
          <w:szCs w:val="24"/>
          <w:lang w:val="sq-AL"/>
        </w:rPr>
        <w:t>a</w:t>
      </w:r>
      <w:r w:rsidR="00F84598" w:rsidRPr="00BA26D0">
        <w:rPr>
          <w:rFonts w:ascii="Times New Roman" w:hAnsi="Times New Roman" w:cs="Times New Roman"/>
          <w:i/>
          <w:sz w:val="24"/>
          <w:szCs w:val="24"/>
          <w:lang w:val="sq-AL"/>
        </w:rPr>
        <w:t xml:space="preserve"> M, H M</w:t>
      </w:r>
      <w:r w:rsidR="00F84598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F84598" w:rsidRPr="00BA26D0">
        <w:rPr>
          <w:rFonts w:ascii="Times New Roman" w:hAnsi="Times New Roman" w:cs="Times New Roman"/>
          <w:i/>
          <w:sz w:val="24"/>
          <w:szCs w:val="24"/>
          <w:lang w:val="sq-AL"/>
        </w:rPr>
        <w:t>N M</w:t>
      </w:r>
      <w:r w:rsidR="00F84598" w:rsidRPr="009A5A8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4A621A" w:rsidRPr="009A5A8E" w:rsidRDefault="00C42CA1" w:rsidP="009A5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[5] </w:t>
      </w:r>
      <w:r w:rsidR="00F84598" w:rsidRPr="009A5A8E">
        <w:rPr>
          <w:rFonts w:ascii="Times New Roman" w:hAnsi="Times New Roman" w:cs="Times New Roman"/>
          <w:sz w:val="24"/>
          <w:szCs w:val="24"/>
          <w:lang w:val="sq-AL"/>
        </w:rPr>
        <w:t>Më 21 maj 20</w:t>
      </w:r>
      <w:r w:rsidR="00681B63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F84598" w:rsidRPr="009A5A8E">
        <w:rPr>
          <w:rFonts w:ascii="Times New Roman" w:hAnsi="Times New Roman" w:cs="Times New Roman"/>
          <w:sz w:val="24"/>
          <w:szCs w:val="24"/>
          <w:lang w:val="sq-AL"/>
        </w:rPr>
        <w:t>2, Gjykata Komunale e M</w:t>
      </w:r>
      <w:r w:rsidR="00E602AE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F84598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në Aktgjykimin</w:t>
      </w:r>
      <w:r w:rsidR="00F84598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C. nr. 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...</w:t>
      </w:r>
      <w:r w:rsidR="00F84598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, ia njohu të drejtën pronësore të paditësit mbi ngastrat </w:t>
      </w:r>
      <w:proofErr w:type="spellStart"/>
      <w:r w:rsidR="00F84598" w:rsidRPr="009A5A8E">
        <w:rPr>
          <w:rFonts w:ascii="Times New Roman" w:hAnsi="Times New Roman" w:cs="Times New Roman"/>
          <w:bCs/>
          <w:sz w:val="24"/>
          <w:szCs w:val="24"/>
          <w:lang w:val="sq-AL"/>
        </w:rPr>
        <w:t>kadastrale</w:t>
      </w:r>
      <w:proofErr w:type="spellEnd"/>
      <w:r w:rsidR="00F84598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nr. 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...</w:t>
      </w:r>
      <w:r w:rsidR="00F84598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në sipërfaqe të përgjithshme prej 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...</w:t>
      </w:r>
      <w:r w:rsidR="00F84598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ha dhe ngastrën </w:t>
      </w:r>
      <w:proofErr w:type="spellStart"/>
      <w:r w:rsidR="00F84598" w:rsidRPr="009A5A8E">
        <w:rPr>
          <w:rFonts w:ascii="Times New Roman" w:hAnsi="Times New Roman" w:cs="Times New Roman"/>
          <w:bCs/>
          <w:sz w:val="24"/>
          <w:szCs w:val="24"/>
          <w:lang w:val="sq-AL"/>
        </w:rPr>
        <w:t>kadastrale</w:t>
      </w:r>
      <w:proofErr w:type="spellEnd"/>
      <w:r w:rsidR="00F84598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nr. 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...</w:t>
      </w:r>
      <w:r w:rsidR="00F84598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në sipërfaqe të përgjithshme prej .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...</w:t>
      </w:r>
      <w:r w:rsidR="00F84598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, sipas fletës poseduese numër 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...</w:t>
      </w:r>
      <w:r w:rsidR="00BA26D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, zona </w:t>
      </w:r>
      <w:proofErr w:type="spellStart"/>
      <w:r w:rsidR="00BA26D0">
        <w:rPr>
          <w:rFonts w:ascii="Times New Roman" w:hAnsi="Times New Roman" w:cs="Times New Roman"/>
          <w:bCs/>
          <w:sz w:val="24"/>
          <w:szCs w:val="24"/>
          <w:lang w:val="sq-AL"/>
        </w:rPr>
        <w:t>kadastrale</w:t>
      </w:r>
      <w:proofErr w:type="spellEnd"/>
      <w:r w:rsidR="00BA26D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</w:t>
      </w:r>
      <w:r w:rsidR="00F84598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. </w:t>
      </w:r>
    </w:p>
    <w:p w:rsidR="00042B39" w:rsidRPr="009A5A8E" w:rsidRDefault="00C42CA1" w:rsidP="009A5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[6] </w:t>
      </w:r>
      <w:r w:rsidR="00F84598" w:rsidRPr="009A5A8E">
        <w:rPr>
          <w:rFonts w:ascii="Times New Roman" w:hAnsi="Times New Roman" w:cs="Times New Roman"/>
          <w:bCs/>
          <w:sz w:val="24"/>
          <w:szCs w:val="24"/>
          <w:lang w:val="sq-AL"/>
        </w:rPr>
        <w:t>Ankesat u dorëzuan nga AKP</w:t>
      </w:r>
      <w:r w:rsidR="00BA26D0">
        <w:rPr>
          <w:rFonts w:ascii="Times New Roman" w:hAnsi="Times New Roman" w:cs="Times New Roman"/>
          <w:bCs/>
          <w:sz w:val="24"/>
          <w:szCs w:val="24"/>
          <w:lang w:val="sq-AL"/>
        </w:rPr>
        <w:t>-ja</w:t>
      </w:r>
      <w:r w:rsidR="00F84598"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më 11 korrik 2012 të plotësuara më 31 dhjetor 2013, nga ndërhyrësit </w:t>
      </w:r>
      <w:r w:rsidR="00F84598" w:rsidRPr="00BA26D0">
        <w:rPr>
          <w:rFonts w:ascii="Times New Roman" w:hAnsi="Times New Roman" w:cs="Times New Roman"/>
          <w:i/>
          <w:sz w:val="24"/>
          <w:szCs w:val="24"/>
          <w:lang w:val="sq-AL"/>
        </w:rPr>
        <w:t>J M, H</w:t>
      </w:r>
      <w:r w:rsidRPr="00BA26D0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F84598" w:rsidRPr="00BA26D0">
        <w:rPr>
          <w:rFonts w:ascii="Times New Roman" w:hAnsi="Times New Roman" w:cs="Times New Roman"/>
          <w:i/>
          <w:sz w:val="24"/>
          <w:szCs w:val="24"/>
          <w:lang w:val="sq-AL"/>
        </w:rPr>
        <w:t>M, N M, Z M</w:t>
      </w:r>
      <w:r w:rsidR="00F84598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83B6C" w:rsidRPr="009A5A8E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="00F84598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84598" w:rsidRPr="00BA26D0">
        <w:rPr>
          <w:rFonts w:ascii="Times New Roman" w:hAnsi="Times New Roman" w:cs="Times New Roman"/>
          <w:i/>
          <w:sz w:val="24"/>
          <w:szCs w:val="24"/>
          <w:lang w:val="sq-AL"/>
        </w:rPr>
        <w:t>Sh M</w:t>
      </w:r>
      <w:r w:rsidR="00683B6C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më 19 korrik 2012 dhe në fund nga ndërhyrësit </w:t>
      </w:r>
      <w:r w:rsidR="00683B6C" w:rsidRPr="00BA26D0">
        <w:rPr>
          <w:rFonts w:ascii="Times New Roman" w:hAnsi="Times New Roman" w:cs="Times New Roman"/>
          <w:i/>
          <w:sz w:val="24"/>
          <w:szCs w:val="24"/>
          <w:lang w:val="sq-AL"/>
        </w:rPr>
        <w:t>Z</w:t>
      </w:r>
      <w:r w:rsidR="00683B6C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83B6C" w:rsidRPr="00BA26D0">
        <w:rPr>
          <w:rFonts w:ascii="Times New Roman" w:hAnsi="Times New Roman" w:cs="Times New Roman"/>
          <w:i/>
          <w:sz w:val="24"/>
          <w:szCs w:val="24"/>
          <w:lang w:val="sq-AL"/>
        </w:rPr>
        <w:t>M</w:t>
      </w:r>
      <w:r w:rsidR="00683B6C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683B6C" w:rsidRPr="00BA26D0">
        <w:rPr>
          <w:rFonts w:ascii="Times New Roman" w:hAnsi="Times New Roman" w:cs="Times New Roman"/>
          <w:i/>
          <w:sz w:val="24"/>
          <w:szCs w:val="24"/>
          <w:lang w:val="sq-AL"/>
        </w:rPr>
        <w:t xml:space="preserve">M </w:t>
      </w:r>
      <w:proofErr w:type="spellStart"/>
      <w:r w:rsidR="00683B6C" w:rsidRPr="00BA26D0">
        <w:rPr>
          <w:rFonts w:ascii="Times New Roman" w:hAnsi="Times New Roman" w:cs="Times New Roman"/>
          <w:i/>
          <w:sz w:val="24"/>
          <w:szCs w:val="24"/>
          <w:lang w:val="sq-AL"/>
        </w:rPr>
        <w:t>M</w:t>
      </w:r>
      <w:proofErr w:type="spellEnd"/>
      <w:r w:rsidR="00683B6C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më 20 korrik 2012.</w:t>
      </w:r>
    </w:p>
    <w:p w:rsidR="00042B39" w:rsidRPr="009A5A8E" w:rsidRDefault="00C42CA1" w:rsidP="009A5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[7] </w:t>
      </w:r>
      <w:r w:rsidR="00683B6C" w:rsidRPr="009A5A8E">
        <w:rPr>
          <w:rFonts w:ascii="Times New Roman" w:hAnsi="Times New Roman" w:cs="Times New Roman"/>
          <w:bCs/>
          <w:sz w:val="24"/>
          <w:szCs w:val="24"/>
          <w:lang w:val="sq-AL"/>
        </w:rPr>
        <w:t>Ankuesit me ankesat e tyre e kontestuan juridiksionin e Gjykatës Komunale mbi padinë e kontestuar dhe i kundërshtuan rrethanat faktike mbi të cilat ishte bazuar aktgjykimi i kundërshtuar. Ankuesit kërkuan prishjen e aktgjykimit të Gjykatës Komunale dhe rigjykimin para DHPGJS-së.</w:t>
      </w:r>
    </w:p>
    <w:p w:rsidR="002C13FB" w:rsidRPr="009A5A8E" w:rsidRDefault="00C42CA1" w:rsidP="009A5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[8] </w:t>
      </w:r>
      <w:r w:rsidR="00683B6C" w:rsidRPr="009A5A8E">
        <w:rPr>
          <w:rFonts w:ascii="Times New Roman" w:hAnsi="Times New Roman" w:cs="Times New Roman"/>
          <w:sz w:val="24"/>
          <w:szCs w:val="24"/>
          <w:lang w:val="sq-AL"/>
        </w:rPr>
        <w:t>Ankesa e ankuesit të parë para DHPGJS-së ishte regjistruar me numrin AC-II.-12-0184. Me aktvendimin e Kolegjit të Apelit, të datës 23 nëntor 2012, lënda ankimore u bashkua me lëndën ankimore AC-II-12-0169.</w:t>
      </w:r>
    </w:p>
    <w:p w:rsidR="00024BCD" w:rsidRPr="00E602AE" w:rsidRDefault="00C42CA1" w:rsidP="009A5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[9] </w:t>
      </w:r>
      <w:r w:rsidR="00F67DF1" w:rsidRPr="009A5A8E">
        <w:rPr>
          <w:rFonts w:ascii="Times New Roman" w:hAnsi="Times New Roman" w:cs="Times New Roman"/>
          <w:sz w:val="24"/>
          <w:szCs w:val="24"/>
          <w:lang w:val="sq-AL"/>
        </w:rPr>
        <w:t>Me urdhrat e Kolegjit të Apelit, të datës 13 shtator 2012, nga të gjithë ankuesit u kërkua që të përmbushin procedurat e zakonshme ankimore dhe secili ankues i plotësoi formalitetet sipas rregullit.</w:t>
      </w:r>
      <w:r w:rsidR="000C32DB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18780F" w:rsidRPr="009A5A8E" w:rsidRDefault="00F67DF1" w:rsidP="00C42CA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9A5A8E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Arsyetimi ligjor</w:t>
      </w:r>
      <w:r w:rsidR="002B2C98" w:rsidRPr="009A5A8E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="00C42CA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42CA1" w:rsidRPr="00C42CA1">
        <w:rPr>
          <w:rFonts w:ascii="Times New Roman" w:hAnsi="Times New Roman" w:cs="Times New Roman"/>
          <w:sz w:val="24"/>
          <w:szCs w:val="24"/>
          <w:lang w:val="sq-AL"/>
        </w:rPr>
        <w:t>[10]</w:t>
      </w:r>
      <w:r w:rsidR="00C42CA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9A5A8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Ankesat janë të pranueshme dhe të bazuara. </w:t>
      </w:r>
    </w:p>
    <w:p w:rsidR="00F67DF1" w:rsidRPr="009A5A8E" w:rsidRDefault="00F67DF1" w:rsidP="009A5A8E">
      <w:pPr>
        <w:pStyle w:val="NormalWeb"/>
        <w:spacing w:before="0" w:beforeAutospacing="0" w:after="0" w:afterAutospacing="0"/>
        <w:jc w:val="both"/>
        <w:rPr>
          <w:bCs/>
          <w:lang w:val="sq-AL"/>
        </w:rPr>
      </w:pPr>
    </w:p>
    <w:p w:rsidR="003A4BFB" w:rsidRPr="009A5A8E" w:rsidRDefault="00C42CA1" w:rsidP="009A5A8E">
      <w:pPr>
        <w:pStyle w:val="NormalWeb"/>
        <w:spacing w:before="0" w:beforeAutospacing="0" w:after="0" w:afterAutospacing="0"/>
        <w:jc w:val="both"/>
        <w:rPr>
          <w:rFonts w:eastAsia="MS Mincho"/>
          <w:lang w:val="sq-AL"/>
        </w:rPr>
      </w:pPr>
      <w:r>
        <w:rPr>
          <w:lang w:val="sq-AL"/>
        </w:rPr>
        <w:t xml:space="preserve">[11] </w:t>
      </w:r>
      <w:r w:rsidR="003A4BFB" w:rsidRPr="009A5A8E">
        <w:rPr>
          <w:lang w:val="sq-AL"/>
        </w:rPr>
        <w:t>Në bazë të nenit 64.1 të Shtojcës</w:t>
      </w:r>
      <w:r w:rsidR="003A4BFB" w:rsidRPr="009A5A8E">
        <w:rPr>
          <w:rFonts w:eastAsia="MS Mincho"/>
          <w:lang w:val="sq-AL"/>
        </w:rPr>
        <w:t xml:space="preserve">, Kolegji i Apelit vendosi të mos mbajë pjesën gojore të procedurës dhe të </w:t>
      </w:r>
      <w:r w:rsidR="003A4BFB" w:rsidRPr="009A5A8E">
        <w:rPr>
          <w:lang w:val="sq-AL"/>
        </w:rPr>
        <w:t>mos i dërgohet ankesa të paditurës sipas nenit 10.9 të LDHP dhe nenit 60.2 të Shtojcës.</w:t>
      </w:r>
    </w:p>
    <w:p w:rsidR="002B2C98" w:rsidRPr="009A5A8E" w:rsidRDefault="002B2C98" w:rsidP="009A5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B2C98" w:rsidRPr="009A5A8E" w:rsidRDefault="00C42CA1" w:rsidP="009A5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[12] </w:t>
      </w:r>
      <w:r w:rsidR="005C60A2" w:rsidRPr="009A5A8E">
        <w:rPr>
          <w:rFonts w:ascii="Times New Roman" w:hAnsi="Times New Roman" w:cs="Times New Roman"/>
          <w:sz w:val="24"/>
          <w:szCs w:val="24"/>
          <w:lang w:val="sq-AL"/>
        </w:rPr>
        <w:t>Aktgjykimi i Gjykatës Komunale të M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5C60A2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duhet të prishet. </w:t>
      </w:r>
    </w:p>
    <w:p w:rsidR="002B2C98" w:rsidRPr="009A5A8E" w:rsidRDefault="002B2C98" w:rsidP="009A5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26D0" w:rsidRDefault="005C60A2" w:rsidP="009A5A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9A5A8E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Meritat e ankesës dhe vlerësimi i Kolegjit të Apelit </w:t>
      </w:r>
    </w:p>
    <w:p w:rsidR="003A4BFB" w:rsidRPr="009A5A8E" w:rsidRDefault="00C42CA1" w:rsidP="009A5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42CA1">
        <w:rPr>
          <w:rFonts w:ascii="Times New Roman" w:hAnsi="Times New Roman" w:cs="Times New Roman"/>
          <w:sz w:val="24"/>
          <w:szCs w:val="24"/>
          <w:lang w:val="sq-AL"/>
        </w:rPr>
        <w:t>[13]</w:t>
      </w:r>
      <w:r w:rsidRPr="00C42CA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A4BFB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Aktgjykimi i </w:t>
      </w:r>
      <w:proofErr w:type="spellStart"/>
      <w:r w:rsidR="003A4BFB" w:rsidRPr="009A5A8E">
        <w:rPr>
          <w:rFonts w:ascii="Times New Roman" w:hAnsi="Times New Roman" w:cs="Times New Roman"/>
          <w:sz w:val="24"/>
          <w:szCs w:val="24"/>
          <w:lang w:val="sq-AL"/>
        </w:rPr>
        <w:t>ankimuar</w:t>
      </w:r>
      <w:proofErr w:type="spellEnd"/>
      <w:r w:rsidR="003A4BFB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nuk mund të qëndrojë, sepse nga shkresat e lëndës shihet që Gjykata Komunale nuk kishte juridiksion mbi padinë në kohën kur synoi të vendosë për padinë. Ato procedura jenë të pavlefshme. </w:t>
      </w:r>
    </w:p>
    <w:p w:rsidR="00823E96" w:rsidRPr="009A5A8E" w:rsidRDefault="00C42CA1" w:rsidP="009A5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[14] </w:t>
      </w:r>
      <w:r w:rsidR="003A4BFB" w:rsidRPr="009A5A8E">
        <w:rPr>
          <w:rFonts w:ascii="Times New Roman" w:hAnsi="Times New Roman" w:cs="Times New Roman"/>
          <w:sz w:val="24"/>
          <w:szCs w:val="24"/>
          <w:lang w:val="sq-AL"/>
        </w:rPr>
        <w:t>Me aktvendimin e DHPGJS-së të datës 10 tetor 2006, padia ishte referuar në Gjykatën Komunale të M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3A4BFB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me të drejtë ankese në DHPGJS.</w:t>
      </w:r>
      <w:r w:rsidR="008E08E4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Gjykata Komunale dështoi të gjykojë lëndët deri në maj të vitit 2012, pesë muaj pasi </w:t>
      </w:r>
      <w:r w:rsidR="00BA26D0">
        <w:rPr>
          <w:rFonts w:ascii="Times New Roman" w:hAnsi="Times New Roman" w:cs="Times New Roman"/>
          <w:sz w:val="24"/>
          <w:szCs w:val="24"/>
          <w:lang w:val="sq-AL"/>
        </w:rPr>
        <w:t>që LDHP</w:t>
      </w:r>
      <w:r w:rsidR="008E08E4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hyri në fuqi më 1 janar 2012.</w:t>
      </w:r>
    </w:p>
    <w:p w:rsidR="00E13D5F" w:rsidRDefault="00C42CA1" w:rsidP="00E1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[15] </w:t>
      </w:r>
      <w:r w:rsidR="008E08E4" w:rsidRPr="009A5A8E">
        <w:rPr>
          <w:rFonts w:ascii="Times New Roman" w:hAnsi="Times New Roman" w:cs="Times New Roman"/>
          <w:sz w:val="24"/>
          <w:szCs w:val="24"/>
          <w:lang w:val="sq-AL"/>
        </w:rPr>
        <w:t>Neni 4</w:t>
      </w:r>
      <w:r w:rsidR="00BA26D0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8E08E4" w:rsidRPr="009A5A8E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BA26D0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8E08E4" w:rsidRPr="009A5A8E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BA26D0">
        <w:rPr>
          <w:rFonts w:ascii="Times New Roman" w:hAnsi="Times New Roman" w:cs="Times New Roman"/>
          <w:sz w:val="24"/>
          <w:szCs w:val="24"/>
          <w:lang w:val="sq-AL"/>
        </w:rPr>
        <w:t>)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26D0">
        <w:rPr>
          <w:rFonts w:ascii="Times New Roman" w:hAnsi="Times New Roman" w:cs="Times New Roman"/>
          <w:sz w:val="24"/>
          <w:szCs w:val="24"/>
          <w:lang w:val="sq-AL"/>
        </w:rPr>
        <w:t>i LDHP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E08E4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e bën të qartë se lidhur me ndonjë kërkesë, lëndë, rast apo procedurë.... </w:t>
      </w:r>
    </w:p>
    <w:p w:rsidR="006D6D3A" w:rsidRDefault="008E08E4" w:rsidP="00E13D5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E13D5F">
        <w:rPr>
          <w:rFonts w:ascii="Times New Roman" w:hAnsi="Times New Roman" w:cs="Times New Roman"/>
          <w:i/>
          <w:sz w:val="24"/>
          <w:szCs w:val="24"/>
          <w:lang w:val="sq-AL"/>
        </w:rPr>
        <w:t>të referuar para datës së hyrjes në fuqi të këtij ligji: (i) nëse gjykata tek e cila është referuar lënda, nuk ka marrë ndonjë Aktvendim substancial në lidhje me atë lëndë deri në datën e hyrjes në fuqi të këtij ligji, ajo gjykatë pushon së pasuri kompetencë mbi lëndën dhe i kthen gjitha dokumentet dhe shkresat e lëndës tek Dhoma e Posaçme.</w:t>
      </w:r>
      <w:r w:rsidR="00B92C01" w:rsidRPr="00E13D5F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</w:p>
    <w:p w:rsidR="00E13D5F" w:rsidRPr="00E13D5F" w:rsidRDefault="00E13D5F" w:rsidP="00E13D5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B92C01" w:rsidRPr="009A5A8E" w:rsidRDefault="00C42CA1" w:rsidP="009A5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[16] </w:t>
      </w:r>
      <w:r w:rsidR="008D601C" w:rsidRPr="009A5A8E">
        <w:rPr>
          <w:rFonts w:ascii="Times New Roman" w:hAnsi="Times New Roman" w:cs="Times New Roman"/>
          <w:sz w:val="24"/>
          <w:szCs w:val="24"/>
          <w:lang w:val="sq-AL"/>
        </w:rPr>
        <w:t>Gjykata Komunale e M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8D601C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vendosi në mënyrë substanciale, me Aktgjykim, më 25 maj 2012, më shumë se 5 (pesë) muaj pas hyrjes në fuqi të </w:t>
      </w:r>
      <w:r w:rsidR="00E13D5F">
        <w:rPr>
          <w:rFonts w:ascii="Times New Roman" w:hAnsi="Times New Roman" w:cs="Times New Roman"/>
          <w:sz w:val="24"/>
          <w:szCs w:val="24"/>
          <w:lang w:val="sq-AL"/>
        </w:rPr>
        <w:t>LDHP</w:t>
      </w:r>
      <w:r w:rsidR="008D601C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. Gjykata Komunale nuk është duhur të gjykojë padinë dhe është duhur të kthejë lëndën në Dhomën e Posaçme për gjykim.  </w:t>
      </w:r>
    </w:p>
    <w:p w:rsidR="008D601C" w:rsidRPr="009A5A8E" w:rsidRDefault="00C42CA1" w:rsidP="009A5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[17] </w:t>
      </w:r>
      <w:r w:rsidR="008D601C" w:rsidRPr="009A5A8E">
        <w:rPr>
          <w:rFonts w:ascii="Times New Roman" w:hAnsi="Times New Roman" w:cs="Times New Roman"/>
          <w:sz w:val="24"/>
          <w:szCs w:val="24"/>
          <w:lang w:val="sq-AL"/>
        </w:rPr>
        <w:t>Për këto arsye dhe në bazë të neni 4 të LDHP-së dhe nenit 5 të LDHP-së, DHPGJS-ja në maj të vitit 2012 dhe më tej ka juridiksion ekskluziv mbi padinë. Procedurat e Gjykatës Komunale janë të pavlefshme dhe prishen</w:t>
      </w:r>
      <w:r w:rsidR="00E13D5F">
        <w:rPr>
          <w:rFonts w:ascii="Times New Roman" w:hAnsi="Times New Roman" w:cs="Times New Roman"/>
          <w:sz w:val="24"/>
          <w:szCs w:val="24"/>
          <w:lang w:val="sq-AL"/>
        </w:rPr>
        <w:t xml:space="preserve"> [</w:t>
      </w:r>
      <w:r w:rsidR="00E13D5F" w:rsidRPr="00681B63">
        <w:rPr>
          <w:rFonts w:ascii="Times New Roman" w:hAnsi="Times New Roman" w:cs="Times New Roman"/>
          <w:sz w:val="24"/>
          <w:szCs w:val="24"/>
          <w:lang w:val="sq-AL"/>
        </w:rPr>
        <w:t>korrekt: aktgjykimi prishet</w:t>
      </w:r>
      <w:r w:rsidR="00E13D5F">
        <w:rPr>
          <w:rFonts w:ascii="Times New Roman" w:hAnsi="Times New Roman" w:cs="Times New Roman"/>
          <w:sz w:val="24"/>
          <w:szCs w:val="24"/>
          <w:lang w:val="sq-AL"/>
        </w:rPr>
        <w:t>]</w:t>
      </w:r>
      <w:r w:rsidR="008D601C" w:rsidRPr="009A5A8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8D601C" w:rsidRPr="009A5A8E" w:rsidRDefault="00C42CA1" w:rsidP="009A5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[18] </w:t>
      </w:r>
      <w:r w:rsidR="008D601C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Mbi këtë përfundim dhe në bazë të nenit 10.10 të </w:t>
      </w:r>
      <w:r w:rsidR="00E13D5F">
        <w:rPr>
          <w:rFonts w:ascii="Times New Roman" w:hAnsi="Times New Roman" w:cs="Times New Roman"/>
          <w:sz w:val="24"/>
          <w:szCs w:val="24"/>
          <w:lang w:val="sq-AL"/>
        </w:rPr>
        <w:t>LDHP</w:t>
      </w:r>
      <w:r w:rsidR="008D601C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u vendos si në </w:t>
      </w:r>
      <w:proofErr w:type="spellStart"/>
      <w:r w:rsidR="008D601C" w:rsidRPr="009A5A8E">
        <w:rPr>
          <w:rFonts w:ascii="Times New Roman" w:hAnsi="Times New Roman" w:cs="Times New Roman"/>
          <w:sz w:val="24"/>
          <w:szCs w:val="24"/>
          <w:lang w:val="sq-AL"/>
        </w:rPr>
        <w:t>dispozitivin</w:t>
      </w:r>
      <w:proofErr w:type="spellEnd"/>
      <w:r w:rsidR="008D601C" w:rsidRPr="009A5A8E">
        <w:rPr>
          <w:rFonts w:ascii="Times New Roman" w:hAnsi="Times New Roman" w:cs="Times New Roman"/>
          <w:sz w:val="24"/>
          <w:szCs w:val="24"/>
          <w:lang w:val="sq-AL"/>
        </w:rPr>
        <w:t xml:space="preserve"> e këtij aktvendimi.  </w:t>
      </w:r>
    </w:p>
    <w:p w:rsidR="002B2C98" w:rsidRPr="009A5A8E" w:rsidRDefault="002B2C98" w:rsidP="009A5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C5D9A" w:rsidRPr="009A5A8E" w:rsidRDefault="002C5D9A" w:rsidP="009A5A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B2C98" w:rsidRPr="009A5A8E" w:rsidRDefault="002B2C98" w:rsidP="009A5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D5C8C" w:rsidRPr="009A5A8E" w:rsidRDefault="00D377BC" w:rsidP="009A5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2D5C8C" w:rsidRPr="009A5A8E" w:rsidSect="0040324B">
      <w:headerReference w:type="even" r:id="rId9"/>
      <w:headerReference w:type="default" r:id="rId10"/>
      <w:pgSz w:w="11906" w:h="16838"/>
      <w:pgMar w:top="1418" w:right="1418" w:bottom="1134" w:left="1418" w:header="709" w:footer="709" w:gutter="0"/>
      <w:pgNumType w:fmt="upp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BC" w:rsidRDefault="00D377BC">
      <w:pPr>
        <w:spacing w:after="0" w:line="240" w:lineRule="auto"/>
      </w:pPr>
      <w:r>
        <w:separator/>
      </w:r>
    </w:p>
  </w:endnote>
  <w:endnote w:type="continuationSeparator" w:id="0">
    <w:p w:rsidR="00D377BC" w:rsidRDefault="00D3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BC" w:rsidRDefault="00D377BC">
      <w:pPr>
        <w:spacing w:after="0" w:line="240" w:lineRule="auto"/>
      </w:pPr>
      <w:r>
        <w:separator/>
      </w:r>
    </w:p>
  </w:footnote>
  <w:footnote w:type="continuationSeparator" w:id="0">
    <w:p w:rsidR="00D377BC" w:rsidRDefault="00D37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95" w:rsidRDefault="002C5D9A" w:rsidP="004032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2695" w:rsidRDefault="00D377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95" w:rsidRDefault="002C5D9A" w:rsidP="004032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45B3">
      <w:rPr>
        <w:rStyle w:val="PageNumber"/>
        <w:noProof/>
      </w:rPr>
      <w:t>II</w:t>
    </w:r>
    <w:r>
      <w:rPr>
        <w:rStyle w:val="PageNumber"/>
      </w:rPr>
      <w:fldChar w:fldCharType="end"/>
    </w:r>
  </w:p>
  <w:p w:rsidR="006B2695" w:rsidRDefault="00D377BC" w:rsidP="004032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11524"/>
    <w:multiLevelType w:val="hybridMultilevel"/>
    <w:tmpl w:val="167C046C"/>
    <w:lvl w:ilvl="0" w:tplc="4656B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D24FE"/>
    <w:multiLevelType w:val="hybridMultilevel"/>
    <w:tmpl w:val="8E9C9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454113"/>
    <w:multiLevelType w:val="hybridMultilevel"/>
    <w:tmpl w:val="FD24D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DD28B8"/>
    <w:multiLevelType w:val="hybridMultilevel"/>
    <w:tmpl w:val="CAF83CE2"/>
    <w:lvl w:ilvl="0" w:tplc="A18C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98"/>
    <w:rsid w:val="00007191"/>
    <w:rsid w:val="00014BEF"/>
    <w:rsid w:val="00024BCD"/>
    <w:rsid w:val="00042B39"/>
    <w:rsid w:val="000720D4"/>
    <w:rsid w:val="00076AA0"/>
    <w:rsid w:val="000A0F45"/>
    <w:rsid w:val="000C0B76"/>
    <w:rsid w:val="000C32DB"/>
    <w:rsid w:val="000D0524"/>
    <w:rsid w:val="000E2954"/>
    <w:rsid w:val="000E5DB3"/>
    <w:rsid w:val="00121B53"/>
    <w:rsid w:val="00150931"/>
    <w:rsid w:val="0016418F"/>
    <w:rsid w:val="0018780F"/>
    <w:rsid w:val="001E2ADA"/>
    <w:rsid w:val="00250DE9"/>
    <w:rsid w:val="002553F6"/>
    <w:rsid w:val="002A1909"/>
    <w:rsid w:val="002B2C98"/>
    <w:rsid w:val="002C13FB"/>
    <w:rsid w:val="002C5D9A"/>
    <w:rsid w:val="003404C7"/>
    <w:rsid w:val="003A4BFB"/>
    <w:rsid w:val="004035E8"/>
    <w:rsid w:val="00404908"/>
    <w:rsid w:val="004758A0"/>
    <w:rsid w:val="004A621A"/>
    <w:rsid w:val="004D0210"/>
    <w:rsid w:val="004F3680"/>
    <w:rsid w:val="005547E9"/>
    <w:rsid w:val="005C60A2"/>
    <w:rsid w:val="006345B3"/>
    <w:rsid w:val="00635F34"/>
    <w:rsid w:val="00657F74"/>
    <w:rsid w:val="0067662D"/>
    <w:rsid w:val="00681B63"/>
    <w:rsid w:val="00683B6C"/>
    <w:rsid w:val="006C73C5"/>
    <w:rsid w:val="006D6D3A"/>
    <w:rsid w:val="00712836"/>
    <w:rsid w:val="007401FB"/>
    <w:rsid w:val="00744779"/>
    <w:rsid w:val="007B3F80"/>
    <w:rsid w:val="007D5EC5"/>
    <w:rsid w:val="007F462B"/>
    <w:rsid w:val="00823E96"/>
    <w:rsid w:val="00860DF6"/>
    <w:rsid w:val="008853AA"/>
    <w:rsid w:val="00893136"/>
    <w:rsid w:val="00897D7B"/>
    <w:rsid w:val="008A2A96"/>
    <w:rsid w:val="008D601C"/>
    <w:rsid w:val="008D7BFE"/>
    <w:rsid w:val="008E08E4"/>
    <w:rsid w:val="008E29EB"/>
    <w:rsid w:val="008E6A46"/>
    <w:rsid w:val="00904AFE"/>
    <w:rsid w:val="009054D9"/>
    <w:rsid w:val="00940129"/>
    <w:rsid w:val="00961972"/>
    <w:rsid w:val="00964C7F"/>
    <w:rsid w:val="00973BE4"/>
    <w:rsid w:val="00981CEC"/>
    <w:rsid w:val="009A5A8E"/>
    <w:rsid w:val="009C4B16"/>
    <w:rsid w:val="009D0FA7"/>
    <w:rsid w:val="009F0CB7"/>
    <w:rsid w:val="00A471DE"/>
    <w:rsid w:val="00A6310E"/>
    <w:rsid w:val="00AD3051"/>
    <w:rsid w:val="00B36D5F"/>
    <w:rsid w:val="00B561C5"/>
    <w:rsid w:val="00B92C01"/>
    <w:rsid w:val="00BA26D0"/>
    <w:rsid w:val="00BA6DF4"/>
    <w:rsid w:val="00C037E0"/>
    <w:rsid w:val="00C049B3"/>
    <w:rsid w:val="00C42CA1"/>
    <w:rsid w:val="00C5134D"/>
    <w:rsid w:val="00CC0C00"/>
    <w:rsid w:val="00CE7EE4"/>
    <w:rsid w:val="00D264EC"/>
    <w:rsid w:val="00D377BC"/>
    <w:rsid w:val="00D7360D"/>
    <w:rsid w:val="00DD21D0"/>
    <w:rsid w:val="00DF4E6E"/>
    <w:rsid w:val="00E1157F"/>
    <w:rsid w:val="00E13D5F"/>
    <w:rsid w:val="00E602AE"/>
    <w:rsid w:val="00E9100A"/>
    <w:rsid w:val="00E91890"/>
    <w:rsid w:val="00ED1A1B"/>
    <w:rsid w:val="00F07D97"/>
    <w:rsid w:val="00F26F2D"/>
    <w:rsid w:val="00F347F6"/>
    <w:rsid w:val="00F37800"/>
    <w:rsid w:val="00F61A87"/>
    <w:rsid w:val="00F67DF1"/>
    <w:rsid w:val="00F84598"/>
    <w:rsid w:val="00FE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2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C98"/>
  </w:style>
  <w:style w:type="character" w:styleId="PageNumber">
    <w:name w:val="page number"/>
    <w:basedOn w:val="DefaultParagraphFont"/>
    <w:rsid w:val="002B2C98"/>
  </w:style>
  <w:style w:type="paragraph" w:styleId="ListParagraph">
    <w:name w:val="List Paragraph"/>
    <w:basedOn w:val="Normal"/>
    <w:uiPriority w:val="34"/>
    <w:qFormat/>
    <w:rsid w:val="00DF4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82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2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C98"/>
  </w:style>
  <w:style w:type="character" w:styleId="PageNumber">
    <w:name w:val="page number"/>
    <w:basedOn w:val="DefaultParagraphFont"/>
    <w:rsid w:val="002B2C98"/>
  </w:style>
  <w:style w:type="paragraph" w:styleId="ListParagraph">
    <w:name w:val="List Paragraph"/>
    <w:basedOn w:val="Normal"/>
    <w:uiPriority w:val="34"/>
    <w:qFormat/>
    <w:rsid w:val="00DF4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82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2D93B-74E7-41AF-87E9-7506D23B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Agim Mecinaj</dc:creator>
  <cp:lastModifiedBy>Timo Knaebe</cp:lastModifiedBy>
  <cp:revision>3</cp:revision>
  <cp:lastPrinted>2015-09-30T10:59:00Z</cp:lastPrinted>
  <dcterms:created xsi:type="dcterms:W3CDTF">2015-11-30T14:48:00Z</dcterms:created>
  <dcterms:modified xsi:type="dcterms:W3CDTF">2015-11-30T14:48:00Z</dcterms:modified>
</cp:coreProperties>
</file>