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224"/>
        <w:tblW w:w="9180" w:type="dxa"/>
        <w:tblBorders>
          <w:bottom w:val="single" w:sz="4" w:space="0" w:color="auto"/>
        </w:tblBorders>
        <w:tblLook w:val="00A0" w:firstRow="1" w:lastRow="0" w:firstColumn="1" w:lastColumn="0" w:noHBand="0" w:noVBand="0"/>
      </w:tblPr>
      <w:tblGrid>
        <w:gridCol w:w="3085"/>
        <w:gridCol w:w="3260"/>
        <w:gridCol w:w="2835"/>
      </w:tblGrid>
      <w:tr w:rsidR="0091473B" w:rsidRPr="00D07C84" w:rsidTr="00E73D80">
        <w:tc>
          <w:tcPr>
            <w:tcW w:w="3085" w:type="dxa"/>
            <w:tcBorders>
              <w:top w:val="single" w:sz="4" w:space="0" w:color="auto"/>
              <w:left w:val="single" w:sz="4" w:space="0" w:color="auto"/>
              <w:bottom w:val="single" w:sz="4" w:space="0" w:color="auto"/>
              <w:right w:val="single" w:sz="4" w:space="0" w:color="auto"/>
            </w:tcBorders>
            <w:hideMark/>
          </w:tcPr>
          <w:p w:rsidR="0091473B" w:rsidRPr="00D07C84" w:rsidRDefault="0091473B" w:rsidP="00E73D80">
            <w:pPr>
              <w:jc w:val="center"/>
              <w:rPr>
                <w:b/>
                <w:lang w:val="sr-Latn-RS"/>
              </w:rPr>
            </w:pPr>
            <w:r w:rsidRPr="00D07C84">
              <w:rPr>
                <w:b/>
                <w:lang w:val="sr-Latn-RS"/>
              </w:rPr>
              <w:t>DHOMA E POSAÇME E GJYKATËS SUPREME TË KOSOVËS PËR ÇËSHTJE QË LIDHEN ME AGJENSINË KOSOVARE TË PRIVATIZIMIT</w:t>
            </w:r>
          </w:p>
        </w:tc>
        <w:tc>
          <w:tcPr>
            <w:tcW w:w="3260" w:type="dxa"/>
            <w:tcBorders>
              <w:top w:val="single" w:sz="4" w:space="0" w:color="auto"/>
              <w:left w:val="single" w:sz="4" w:space="0" w:color="auto"/>
              <w:bottom w:val="single" w:sz="4" w:space="0" w:color="auto"/>
              <w:right w:val="single" w:sz="4" w:space="0" w:color="auto"/>
            </w:tcBorders>
            <w:hideMark/>
          </w:tcPr>
          <w:p w:rsidR="0091473B" w:rsidRPr="00D07C84" w:rsidRDefault="0091473B" w:rsidP="00E73D80">
            <w:pPr>
              <w:jc w:val="center"/>
              <w:rPr>
                <w:b/>
                <w:lang w:val="sr-Latn-RS"/>
              </w:rPr>
            </w:pPr>
            <w:r w:rsidRPr="00D07C84">
              <w:rPr>
                <w:b/>
                <w:lang w:val="sr-Latn-RS"/>
              </w:rPr>
              <w:t>SPECIAL CHAMBER OF THE SUPREME COURT OF KOSOVO ON PRIVATIZATION AGENCY OF KOSOVO RELATED MATTERS</w:t>
            </w:r>
          </w:p>
        </w:tc>
        <w:tc>
          <w:tcPr>
            <w:tcW w:w="2835" w:type="dxa"/>
            <w:tcBorders>
              <w:top w:val="single" w:sz="4" w:space="0" w:color="auto"/>
              <w:left w:val="single" w:sz="4" w:space="0" w:color="auto"/>
              <w:bottom w:val="single" w:sz="4" w:space="0" w:color="auto"/>
              <w:right w:val="single" w:sz="4" w:space="0" w:color="auto"/>
            </w:tcBorders>
          </w:tcPr>
          <w:p w:rsidR="0091473B" w:rsidRPr="00D07C84" w:rsidRDefault="0091473B" w:rsidP="00E73D80">
            <w:pPr>
              <w:jc w:val="center"/>
              <w:rPr>
                <w:b/>
                <w:lang w:val="sr-Latn-RS"/>
              </w:rPr>
            </w:pPr>
            <w:r w:rsidRPr="00D07C84">
              <w:rPr>
                <w:b/>
                <w:lang w:val="sr-Latn-RS"/>
              </w:rPr>
              <w:t>POSEBNA KOMORA VRHOVNOG SUDA KOSOVA ZA PITANJA KOJA SE ODNOSE NA KOSOVSKU AGENCIJU ZA PRIVATIZACIJU</w:t>
            </w:r>
          </w:p>
        </w:tc>
      </w:tr>
    </w:tbl>
    <w:p w:rsidR="005D5A1D" w:rsidRPr="006D0E9B" w:rsidRDefault="005D5A1D" w:rsidP="005D5A1D">
      <w:pPr>
        <w:jc w:val="both"/>
        <w:rPr>
          <w:rFonts w:eastAsia="Times New Roman"/>
          <w:b/>
          <w:lang w:val="sr-Latn-RS" w:eastAsia="de-DE"/>
        </w:rPr>
      </w:pPr>
    </w:p>
    <w:p w:rsidR="005D5A1D" w:rsidRPr="006D0E9B" w:rsidRDefault="006D0E9B" w:rsidP="005D5A1D">
      <w:pPr>
        <w:rPr>
          <w:rFonts w:eastAsia="Times New Roman"/>
          <w:i/>
          <w:lang w:val="sr-Latn-RS" w:eastAsia="de-DE"/>
        </w:rPr>
      </w:pPr>
      <w:r>
        <w:rPr>
          <w:rFonts w:eastAsia="Times New Roman"/>
          <w:bCs/>
          <w:i/>
          <w:lang w:val="sr-Latn-RS" w:eastAsia="de-DE"/>
        </w:rPr>
        <w:t>Rešenje od</w:t>
      </w:r>
      <w:r w:rsidR="005D5A1D" w:rsidRPr="006D0E9B">
        <w:rPr>
          <w:rFonts w:eastAsia="Times New Roman"/>
          <w:bCs/>
          <w:i/>
          <w:lang w:val="sr-Latn-RS" w:eastAsia="de-DE"/>
        </w:rPr>
        <w:t xml:space="preserve"> </w:t>
      </w:r>
      <w:r w:rsidR="008A1D6E" w:rsidRPr="006D0E9B">
        <w:rPr>
          <w:rFonts w:eastAsia="Times New Roman"/>
          <w:bCs/>
          <w:i/>
          <w:lang w:val="sr-Latn-RS" w:eastAsia="de-DE"/>
        </w:rPr>
        <w:t>4</w:t>
      </w:r>
      <w:r>
        <w:rPr>
          <w:rFonts w:eastAsia="Times New Roman"/>
          <w:bCs/>
          <w:i/>
          <w:lang w:val="sr-Latn-RS" w:eastAsia="de-DE"/>
        </w:rPr>
        <w:t>.</w:t>
      </w:r>
      <w:r w:rsidR="005D5A1D" w:rsidRPr="006D0E9B">
        <w:rPr>
          <w:rFonts w:eastAsia="Times New Roman"/>
          <w:bCs/>
          <w:i/>
          <w:lang w:val="sr-Latn-RS" w:eastAsia="de-DE"/>
        </w:rPr>
        <w:t xml:space="preserve"> </w:t>
      </w:r>
      <w:r>
        <w:rPr>
          <w:rFonts w:eastAsia="Times New Roman"/>
          <w:bCs/>
          <w:i/>
          <w:lang w:val="sr-Latn-RS" w:eastAsia="de-DE"/>
        </w:rPr>
        <w:t>marta</w:t>
      </w:r>
      <w:r w:rsidR="005D5A1D" w:rsidRPr="006D0E9B">
        <w:rPr>
          <w:rFonts w:eastAsia="Times New Roman"/>
          <w:bCs/>
          <w:i/>
          <w:lang w:val="sr-Latn-RS" w:eastAsia="de-DE"/>
        </w:rPr>
        <w:t xml:space="preserve"> 201</w:t>
      </w:r>
      <w:r w:rsidR="008A1D6E" w:rsidRPr="006D0E9B">
        <w:rPr>
          <w:rFonts w:eastAsia="Times New Roman"/>
          <w:bCs/>
          <w:i/>
          <w:lang w:val="sr-Latn-RS" w:eastAsia="de-DE"/>
        </w:rPr>
        <w:t>5</w:t>
      </w:r>
      <w:r>
        <w:rPr>
          <w:rFonts w:eastAsia="Times New Roman"/>
          <w:bCs/>
          <w:i/>
          <w:lang w:val="sr-Latn-RS" w:eastAsia="de-DE"/>
        </w:rPr>
        <w:t>.</w:t>
      </w:r>
      <w:r w:rsidR="005D5A1D" w:rsidRPr="006D0E9B">
        <w:rPr>
          <w:rFonts w:eastAsia="Times New Roman"/>
          <w:bCs/>
          <w:i/>
          <w:lang w:val="sr-Latn-RS" w:eastAsia="de-DE"/>
        </w:rPr>
        <w:t xml:space="preserve"> – AC-</w:t>
      </w:r>
      <w:r w:rsidR="008A1D6E" w:rsidRPr="006D0E9B">
        <w:rPr>
          <w:rFonts w:eastAsia="Times New Roman"/>
          <w:bCs/>
          <w:i/>
          <w:lang w:val="sr-Latn-RS" w:eastAsia="de-DE"/>
        </w:rPr>
        <w:t>I.-14</w:t>
      </w:r>
      <w:r w:rsidR="005D5A1D" w:rsidRPr="006D0E9B">
        <w:rPr>
          <w:rFonts w:eastAsia="Times New Roman"/>
          <w:bCs/>
          <w:i/>
          <w:lang w:val="sr-Latn-RS" w:eastAsia="de-DE"/>
        </w:rPr>
        <w:t>-0</w:t>
      </w:r>
      <w:r w:rsidR="008A1D6E" w:rsidRPr="006D0E9B">
        <w:rPr>
          <w:rFonts w:eastAsia="Times New Roman"/>
          <w:bCs/>
          <w:i/>
          <w:lang w:val="sr-Latn-RS" w:eastAsia="de-DE"/>
        </w:rPr>
        <w:t>323</w:t>
      </w:r>
      <w:r w:rsidR="005D5A1D" w:rsidRPr="006D0E9B">
        <w:rPr>
          <w:rFonts w:eastAsia="Times New Roman"/>
          <w:bCs/>
          <w:i/>
          <w:lang w:val="sr-Latn-RS" w:eastAsia="de-DE"/>
        </w:rPr>
        <w:t xml:space="preserve"> </w:t>
      </w:r>
      <w:bookmarkStart w:id="0" w:name="_GoBack"/>
      <w:bookmarkEnd w:id="0"/>
    </w:p>
    <w:p w:rsidR="00202DDB" w:rsidRPr="006D0E9B" w:rsidRDefault="00202DDB" w:rsidP="005D5A1D">
      <w:pPr>
        <w:ind w:right="-22"/>
        <w:jc w:val="both"/>
        <w:rPr>
          <w:lang w:val="sr-Latn-RS"/>
        </w:rPr>
      </w:pPr>
    </w:p>
    <w:p w:rsidR="00BB25B7" w:rsidRPr="006D0E9B" w:rsidRDefault="00BB25B7" w:rsidP="005D5A1D">
      <w:pPr>
        <w:ind w:right="-22"/>
        <w:jc w:val="both"/>
        <w:rPr>
          <w:b/>
          <w:bCs/>
          <w:u w:val="single"/>
          <w:lang w:val="sr-Latn-RS"/>
        </w:rPr>
      </w:pPr>
    </w:p>
    <w:p w:rsidR="006D0E9B" w:rsidRPr="006D0E9B" w:rsidRDefault="006D0E9B" w:rsidP="005D5A1D">
      <w:pPr>
        <w:ind w:right="-22"/>
        <w:jc w:val="both"/>
        <w:rPr>
          <w:bCs/>
          <w:lang w:val="sr-Latn-RS"/>
        </w:rPr>
      </w:pPr>
      <w:r>
        <w:rPr>
          <w:b/>
          <w:bCs/>
          <w:lang w:val="sr-Latn-RS"/>
        </w:rPr>
        <w:t>Istorijat postupka i činjenično stanje</w:t>
      </w:r>
      <w:r w:rsidR="005613AF" w:rsidRPr="006D0E9B">
        <w:rPr>
          <w:b/>
          <w:bCs/>
          <w:lang w:val="sr-Latn-RS"/>
        </w:rPr>
        <w:t>:</w:t>
      </w:r>
      <w:r w:rsidR="00283BB0" w:rsidRPr="006D0E9B">
        <w:rPr>
          <w:b/>
          <w:bCs/>
          <w:lang w:val="sr-Latn-RS"/>
        </w:rPr>
        <w:t xml:space="preserve"> </w:t>
      </w:r>
      <w:r w:rsidR="00283BB0" w:rsidRPr="006D0E9B">
        <w:rPr>
          <w:bCs/>
          <w:lang w:val="sr-Latn-RS"/>
        </w:rPr>
        <w:t xml:space="preserve">[1] </w:t>
      </w:r>
      <w:r>
        <w:rPr>
          <w:bCs/>
          <w:lang w:val="sr-Latn-RS"/>
        </w:rPr>
        <w:t>Dana 09</w:t>
      </w:r>
      <w:r w:rsidR="004D0CE0">
        <w:rPr>
          <w:bCs/>
          <w:lang w:val="sr-Latn-RS"/>
        </w:rPr>
        <w:t xml:space="preserve"> jula </w:t>
      </w:r>
      <w:r>
        <w:rPr>
          <w:bCs/>
          <w:lang w:val="sr-Latn-RS"/>
        </w:rPr>
        <w:t xml:space="preserve">2013, tužilac </w:t>
      </w:r>
      <w:r>
        <w:rPr>
          <w:bCs/>
          <w:i/>
          <w:lang w:val="sr-Latn-RS"/>
        </w:rPr>
        <w:t>S</w:t>
      </w:r>
      <w:r w:rsidR="00855893">
        <w:rPr>
          <w:bCs/>
          <w:i/>
          <w:lang w:val="sr-Latn-RS"/>
        </w:rPr>
        <w:t xml:space="preserve"> </w:t>
      </w:r>
      <w:r>
        <w:rPr>
          <w:bCs/>
          <w:i/>
          <w:lang w:val="sr-Latn-RS"/>
        </w:rPr>
        <w:t>B</w:t>
      </w:r>
      <w:r>
        <w:rPr>
          <w:bCs/>
          <w:lang w:val="sr-Latn-RS"/>
        </w:rPr>
        <w:t xml:space="preserve"> iz P</w:t>
      </w:r>
      <w:r w:rsidR="00855893">
        <w:rPr>
          <w:bCs/>
          <w:lang w:val="sr-Latn-RS"/>
        </w:rPr>
        <w:t>.</w:t>
      </w:r>
      <w:r>
        <w:rPr>
          <w:bCs/>
          <w:lang w:val="sr-Latn-RS"/>
        </w:rPr>
        <w:t xml:space="preserve"> podneo je žalbu protiv rešenja Uprave za likvidaciju za DP </w:t>
      </w:r>
      <w:r>
        <w:rPr>
          <w:bCs/>
          <w:i/>
          <w:lang w:val="sr-Latn-RS"/>
        </w:rPr>
        <w:t>D</w:t>
      </w:r>
      <w:r>
        <w:rPr>
          <w:bCs/>
          <w:lang w:val="sr-Latn-RS"/>
        </w:rPr>
        <w:t xml:space="preserve"> (u postupku likvidacije) </w:t>
      </w:r>
      <w:proofErr w:type="spellStart"/>
      <w:r w:rsidR="003E1080">
        <w:rPr>
          <w:bCs/>
          <w:lang w:val="sr-Latn-RS"/>
        </w:rPr>
        <w:t>br</w:t>
      </w:r>
      <w:r>
        <w:rPr>
          <w:bCs/>
          <w:lang w:val="sr-Latn-RS"/>
        </w:rPr>
        <w:t>.PRN</w:t>
      </w:r>
      <w:proofErr w:type="spellEnd"/>
      <w:r>
        <w:rPr>
          <w:bCs/>
          <w:lang w:val="sr-Latn-RS"/>
        </w:rPr>
        <w:t>…, od 06</w:t>
      </w:r>
      <w:r w:rsidR="004D0CE0">
        <w:rPr>
          <w:bCs/>
          <w:lang w:val="sr-Latn-RS"/>
        </w:rPr>
        <w:t xml:space="preserve"> juna </w:t>
      </w:r>
      <w:r>
        <w:rPr>
          <w:bCs/>
          <w:lang w:val="sr-Latn-RS"/>
        </w:rPr>
        <w:t xml:space="preserve">2013, kojim je odbijen njegov zahtev za neisplaćene plate u iznosu od … </w:t>
      </w:r>
      <w:proofErr w:type="spellStart"/>
      <w:r>
        <w:rPr>
          <w:bCs/>
          <w:lang w:val="sr-Latn-RS"/>
        </w:rPr>
        <w:t>eura</w:t>
      </w:r>
      <w:proofErr w:type="spellEnd"/>
      <w:r>
        <w:rPr>
          <w:bCs/>
          <w:lang w:val="sr-Latn-RS"/>
        </w:rPr>
        <w:t xml:space="preserve">.  </w:t>
      </w:r>
    </w:p>
    <w:p w:rsidR="00202DDB" w:rsidRPr="006D0E9B" w:rsidRDefault="00676714" w:rsidP="005D5A1D">
      <w:pPr>
        <w:ind w:right="-22"/>
        <w:jc w:val="both"/>
        <w:rPr>
          <w:bCs/>
          <w:lang w:val="sr-Latn-RS"/>
        </w:rPr>
      </w:pPr>
      <w:r w:rsidRPr="006D0E9B">
        <w:rPr>
          <w:bCs/>
          <w:lang w:val="sr-Latn-RS"/>
        </w:rPr>
        <w:t xml:space="preserve"> </w:t>
      </w:r>
    </w:p>
    <w:p w:rsidR="00676714" w:rsidRPr="006D0E9B" w:rsidRDefault="004D0CE0" w:rsidP="005D5A1D">
      <w:pPr>
        <w:ind w:right="-22"/>
        <w:jc w:val="both"/>
        <w:rPr>
          <w:bCs/>
          <w:lang w:val="sr-Latn-RS"/>
        </w:rPr>
      </w:pPr>
      <w:r>
        <w:rPr>
          <w:bCs/>
          <w:lang w:val="sr-Latn-RS"/>
        </w:rPr>
        <w:t xml:space="preserve">[2] Dana 25 septembra </w:t>
      </w:r>
      <w:r w:rsidR="006D0E9B">
        <w:rPr>
          <w:bCs/>
          <w:lang w:val="sr-Latn-RS"/>
        </w:rPr>
        <w:t xml:space="preserve">2014, presudom C-IV.-13-1201 Specijalno veće PKVS usvojilo je žalbu žalioca kao osnovanu i </w:t>
      </w:r>
      <w:r w:rsidR="002E74BF">
        <w:rPr>
          <w:bCs/>
          <w:lang w:val="sr-Latn-RS"/>
        </w:rPr>
        <w:t xml:space="preserve">ukinulo je rešenje KAP/Uprave za likvidaciju </w:t>
      </w:r>
      <w:proofErr w:type="spellStart"/>
      <w:r w:rsidR="003E1080">
        <w:rPr>
          <w:bCs/>
          <w:lang w:val="sr-Latn-RS"/>
        </w:rPr>
        <w:t>br</w:t>
      </w:r>
      <w:r w:rsidR="002E74BF">
        <w:rPr>
          <w:bCs/>
          <w:lang w:val="sr-Latn-RS"/>
        </w:rPr>
        <w:t>.PRN</w:t>
      </w:r>
      <w:proofErr w:type="spellEnd"/>
      <w:r w:rsidR="002E74BF">
        <w:rPr>
          <w:bCs/>
          <w:lang w:val="sr-Latn-RS"/>
        </w:rPr>
        <w:t>…, od 06</w:t>
      </w:r>
      <w:r>
        <w:rPr>
          <w:bCs/>
          <w:lang w:val="sr-Latn-RS"/>
        </w:rPr>
        <w:t xml:space="preserve"> juna </w:t>
      </w:r>
      <w:r w:rsidR="002E74BF">
        <w:rPr>
          <w:bCs/>
          <w:lang w:val="sr-Latn-RS"/>
        </w:rPr>
        <w:t xml:space="preserve">2013. </w:t>
      </w:r>
      <w:r w:rsidR="00522878">
        <w:rPr>
          <w:bCs/>
          <w:lang w:val="sr-Latn-RS"/>
        </w:rPr>
        <w:t xml:space="preserve">Ovom </w:t>
      </w:r>
      <w:r w:rsidR="002E74BF">
        <w:rPr>
          <w:bCs/>
          <w:lang w:val="sr-Latn-RS"/>
        </w:rPr>
        <w:t xml:space="preserve">presudom </w:t>
      </w:r>
      <w:r w:rsidR="00522878">
        <w:rPr>
          <w:bCs/>
          <w:lang w:val="sr-Latn-RS"/>
        </w:rPr>
        <w:t xml:space="preserve">tuženi </w:t>
      </w:r>
      <w:r w:rsidR="002E74BF">
        <w:rPr>
          <w:bCs/>
          <w:lang w:val="sr-Latn-RS"/>
        </w:rPr>
        <w:t>je obavezan da žaliocu –</w:t>
      </w:r>
      <w:r w:rsidR="003E1080">
        <w:rPr>
          <w:bCs/>
          <w:lang w:val="sr-Latn-RS"/>
        </w:rPr>
        <w:t xml:space="preserve"> </w:t>
      </w:r>
      <w:r w:rsidR="002E74BF" w:rsidRPr="003E1080">
        <w:rPr>
          <w:bCs/>
          <w:i/>
          <w:lang w:val="sr-Latn-RS"/>
        </w:rPr>
        <w:t>S</w:t>
      </w:r>
      <w:r w:rsidR="003E1080">
        <w:rPr>
          <w:bCs/>
          <w:i/>
          <w:lang w:val="sr-Latn-RS"/>
        </w:rPr>
        <w:t xml:space="preserve"> </w:t>
      </w:r>
      <w:r w:rsidR="002E74BF" w:rsidRPr="003E1080">
        <w:rPr>
          <w:bCs/>
          <w:i/>
          <w:lang w:val="sr-Latn-RS"/>
        </w:rPr>
        <w:t>B</w:t>
      </w:r>
      <w:r w:rsidR="002E74BF">
        <w:rPr>
          <w:bCs/>
          <w:lang w:val="sr-Latn-RS"/>
        </w:rPr>
        <w:t xml:space="preserve">- izvrši naknadu za neisplaćene plate za period mart-novembar 2006, u iznosu od … </w:t>
      </w:r>
      <w:proofErr w:type="spellStart"/>
      <w:r w:rsidR="002E74BF">
        <w:rPr>
          <w:bCs/>
          <w:lang w:val="sr-Latn-RS"/>
        </w:rPr>
        <w:t>eura</w:t>
      </w:r>
      <w:proofErr w:type="spellEnd"/>
      <w:r w:rsidR="002E74BF">
        <w:rPr>
          <w:bCs/>
          <w:lang w:val="sr-Latn-RS"/>
        </w:rPr>
        <w:t xml:space="preserve"> u roku od 15 dana od dana pravosnažnosti presude.   </w:t>
      </w:r>
      <w:r w:rsidR="006D0E9B">
        <w:rPr>
          <w:bCs/>
          <w:lang w:val="sr-Latn-RS"/>
        </w:rPr>
        <w:t xml:space="preserve">   </w:t>
      </w:r>
    </w:p>
    <w:p w:rsidR="00676714" w:rsidRPr="006D0E9B" w:rsidRDefault="008131DF" w:rsidP="005D5A1D">
      <w:pPr>
        <w:ind w:right="-22"/>
        <w:jc w:val="both"/>
        <w:rPr>
          <w:bCs/>
          <w:lang w:val="sr-Latn-RS"/>
        </w:rPr>
      </w:pPr>
      <w:r w:rsidRPr="006D0E9B">
        <w:rPr>
          <w:bCs/>
          <w:lang w:val="sr-Latn-RS"/>
        </w:rPr>
        <w:t xml:space="preserve"> </w:t>
      </w:r>
    </w:p>
    <w:p w:rsidR="004E43F5" w:rsidRDefault="002E74BF" w:rsidP="005D5A1D">
      <w:pPr>
        <w:ind w:right="-22"/>
        <w:jc w:val="both"/>
        <w:rPr>
          <w:bCs/>
          <w:lang w:val="sr-Latn-RS"/>
        </w:rPr>
      </w:pPr>
      <w:r>
        <w:rPr>
          <w:bCs/>
          <w:lang w:val="sr-Latn-RS"/>
        </w:rPr>
        <w:t>[3]</w:t>
      </w:r>
      <w:r w:rsidR="004E43F5">
        <w:rPr>
          <w:bCs/>
          <w:lang w:val="sr-Latn-RS"/>
        </w:rPr>
        <w:t xml:space="preserve"> Specijalno veće je obrazložilo da je žalba tužioca osnovana i da </w:t>
      </w:r>
      <w:r w:rsidR="00807210">
        <w:rPr>
          <w:bCs/>
          <w:lang w:val="sr-Latn-RS"/>
        </w:rPr>
        <w:t>treba</w:t>
      </w:r>
      <w:r w:rsidR="004E43F5">
        <w:rPr>
          <w:bCs/>
          <w:lang w:val="sr-Latn-RS"/>
        </w:rPr>
        <w:t xml:space="preserve"> ukida</w:t>
      </w:r>
      <w:r w:rsidR="00807210">
        <w:rPr>
          <w:bCs/>
          <w:lang w:val="sr-Latn-RS"/>
        </w:rPr>
        <w:t>ti</w:t>
      </w:r>
      <w:r w:rsidR="004E43F5">
        <w:rPr>
          <w:bCs/>
          <w:lang w:val="sr-Latn-RS"/>
        </w:rPr>
        <w:t xml:space="preserve"> </w:t>
      </w:r>
      <w:proofErr w:type="spellStart"/>
      <w:r w:rsidR="004E43F5">
        <w:rPr>
          <w:bCs/>
          <w:lang w:val="sr-Latn-RS"/>
        </w:rPr>
        <w:t>ožalbeno</w:t>
      </w:r>
      <w:proofErr w:type="spellEnd"/>
      <w:r w:rsidR="004E43F5">
        <w:rPr>
          <w:bCs/>
          <w:lang w:val="sr-Latn-RS"/>
        </w:rPr>
        <w:t xml:space="preserve"> rešenje KAP, s obzirom da je žalba tužioca za naknadu neisplaćenih plata odbijena bez osnovanog razloga, i takođe dati razlozi nisu osnovani ni prihvatljivi za sud. Dalje, Specijalno već</w:t>
      </w:r>
      <w:r w:rsidR="00807210">
        <w:rPr>
          <w:bCs/>
          <w:lang w:val="sr-Latn-RS"/>
        </w:rPr>
        <w:t>e je obrazložio</w:t>
      </w:r>
      <w:r w:rsidR="00522878">
        <w:rPr>
          <w:bCs/>
          <w:lang w:val="sr-Latn-RS"/>
        </w:rPr>
        <w:t xml:space="preserve"> </w:t>
      </w:r>
      <w:r w:rsidR="004E43F5">
        <w:rPr>
          <w:bCs/>
          <w:lang w:val="sr-Latn-RS"/>
        </w:rPr>
        <w:t>da je obrazloženje nejasno i bez značenja za stranke. Prema mišljenju Specijalnog veća, tužena – KAP – svo</w:t>
      </w:r>
      <w:r w:rsidR="00522878">
        <w:rPr>
          <w:bCs/>
          <w:lang w:val="sr-Latn-RS"/>
        </w:rPr>
        <w:t>jim odgovorom na žalbu i protiv-</w:t>
      </w:r>
      <w:r w:rsidR="004E43F5">
        <w:rPr>
          <w:bCs/>
          <w:lang w:val="sr-Latn-RS"/>
        </w:rPr>
        <w:t>odgovorom podnetim protiv odgovora žalioca, ne osporava činjenicu da je žalilac radio u DP tokom perioda mart – novembar 2006, kada je prekinut radni odnos žalioca u DP na osnovu obaveštenja KAP od 17</w:t>
      </w:r>
      <w:r w:rsidR="004D0CE0">
        <w:rPr>
          <w:bCs/>
          <w:lang w:val="sr-Latn-RS"/>
        </w:rPr>
        <w:t xml:space="preserve"> novembra </w:t>
      </w:r>
      <w:r w:rsidR="004E43F5">
        <w:rPr>
          <w:bCs/>
          <w:lang w:val="sr-Latn-RS"/>
        </w:rPr>
        <w:t xml:space="preserve">2006. </w:t>
      </w:r>
      <w:r w:rsidR="00522878">
        <w:rPr>
          <w:bCs/>
          <w:lang w:val="sr-Latn-RS"/>
        </w:rPr>
        <w:t xml:space="preserve">Ovim </w:t>
      </w:r>
      <w:r w:rsidR="004E43F5">
        <w:rPr>
          <w:bCs/>
          <w:lang w:val="sr-Latn-RS"/>
        </w:rPr>
        <w:t xml:space="preserve">obaveštenjem žalilac je obavešten da </w:t>
      </w:r>
      <w:r w:rsidR="00522878">
        <w:rPr>
          <w:bCs/>
          <w:lang w:val="sr-Latn-RS"/>
        </w:rPr>
        <w:t>neisplaćene plate</w:t>
      </w:r>
      <w:r w:rsidR="004E43F5">
        <w:rPr>
          <w:bCs/>
          <w:lang w:val="sr-Latn-RS"/>
        </w:rPr>
        <w:t xml:space="preserve"> shodno ugovoru o radu za</w:t>
      </w:r>
      <w:r w:rsidR="00522878">
        <w:rPr>
          <w:bCs/>
          <w:lang w:val="sr-Latn-RS"/>
        </w:rPr>
        <w:t xml:space="preserve">ključenim sa </w:t>
      </w:r>
      <w:r w:rsidR="004E43F5">
        <w:rPr>
          <w:bCs/>
          <w:lang w:val="sr-Latn-RS"/>
        </w:rPr>
        <w:t xml:space="preserve"> poslodavcem ostaju da budu razmotrene tokom postupka likvidacije, o čemu će on biti obavešten </w:t>
      </w:r>
      <w:r w:rsidR="00522878">
        <w:rPr>
          <w:bCs/>
          <w:lang w:val="sr-Latn-RS"/>
        </w:rPr>
        <w:t>na</w:t>
      </w:r>
      <w:r w:rsidR="004E43F5">
        <w:rPr>
          <w:bCs/>
          <w:lang w:val="sr-Latn-RS"/>
        </w:rPr>
        <w:t xml:space="preserve"> početku ovog postupka. </w:t>
      </w:r>
      <w:r w:rsidR="004E43F5" w:rsidRPr="0069051B">
        <w:rPr>
          <w:bCs/>
          <w:lang w:val="sr-Latn-RS"/>
        </w:rPr>
        <w:t>Dalje</w:t>
      </w:r>
      <w:r w:rsidR="004E43F5">
        <w:rPr>
          <w:bCs/>
          <w:lang w:val="sr-Latn-RS"/>
        </w:rPr>
        <w:t>, Specijalno veće je navelo da nije prihvatilo odbranu KAP/Uprave za likvidaciju da je zahtev tužioca zastareo, so obzirom</w:t>
      </w:r>
      <w:r w:rsidR="002C7CE5">
        <w:rPr>
          <w:bCs/>
          <w:lang w:val="sr-Latn-RS"/>
        </w:rPr>
        <w:t xml:space="preserve"> </w:t>
      </w:r>
      <w:r w:rsidR="004E43F5">
        <w:rPr>
          <w:bCs/>
          <w:lang w:val="sr-Latn-RS"/>
        </w:rPr>
        <w:t>da takav zahtev</w:t>
      </w:r>
      <w:r w:rsidR="002C7CE5">
        <w:rPr>
          <w:bCs/>
          <w:lang w:val="sr-Latn-RS"/>
        </w:rPr>
        <w:t xml:space="preserve"> nije podnet sudu u roku od 3 godine, niti </w:t>
      </w:r>
      <w:r w:rsidR="0069051B">
        <w:rPr>
          <w:bCs/>
          <w:lang w:val="sr-Latn-RS"/>
        </w:rPr>
        <w:t xml:space="preserve">stav </w:t>
      </w:r>
      <w:r w:rsidR="002C7CE5">
        <w:rPr>
          <w:bCs/>
          <w:lang w:val="sr-Latn-RS"/>
        </w:rPr>
        <w:t>tužen</w:t>
      </w:r>
      <w:r w:rsidR="0069051B">
        <w:rPr>
          <w:bCs/>
          <w:lang w:val="sr-Latn-RS"/>
        </w:rPr>
        <w:t>e</w:t>
      </w:r>
      <w:r w:rsidR="002C7CE5">
        <w:rPr>
          <w:bCs/>
          <w:lang w:val="sr-Latn-RS"/>
        </w:rPr>
        <w:t xml:space="preserve"> da se primenjuje član 608 Zakona o udruženom radu. Specijalno veće je odgovorilo na ovu odbranu tužene svojim mišljenjem da  je Zakon o KAP</w:t>
      </w:r>
      <w:r w:rsidR="0069051B">
        <w:rPr>
          <w:bCs/>
          <w:lang w:val="sr-Latn-RS"/>
        </w:rPr>
        <w:t>-u</w:t>
      </w:r>
      <w:r w:rsidR="002C7CE5">
        <w:rPr>
          <w:bCs/>
          <w:lang w:val="sr-Latn-RS"/>
        </w:rPr>
        <w:t xml:space="preserve"> iz 2011. godine specijalni zakon (lex </w:t>
      </w:r>
      <w:proofErr w:type="spellStart"/>
      <w:r w:rsidR="002C7CE5">
        <w:rPr>
          <w:bCs/>
          <w:lang w:val="sr-Latn-RS"/>
        </w:rPr>
        <w:t>specializ</w:t>
      </w:r>
      <w:proofErr w:type="spellEnd"/>
      <w:r w:rsidR="002C7CE5">
        <w:rPr>
          <w:bCs/>
          <w:lang w:val="sr-Latn-RS"/>
        </w:rPr>
        <w:t xml:space="preserve">) i Aneks ovog zakona, i da se ovim zakonom reguliše postupak likvidacije uključujući i način za </w:t>
      </w:r>
      <w:r w:rsidR="0069051B">
        <w:rPr>
          <w:bCs/>
          <w:lang w:val="sr-Latn-RS"/>
        </w:rPr>
        <w:t>ispunjenje</w:t>
      </w:r>
      <w:r w:rsidR="002C7CE5">
        <w:rPr>
          <w:bCs/>
          <w:lang w:val="sr-Latn-RS"/>
        </w:rPr>
        <w:t xml:space="preserve"> potraživanja poverilaca, odnosno onih potraživanja koja se tiču zaposlenih DP koje se  nalazi u postupku likvidacije.  </w:t>
      </w:r>
      <w:r w:rsidR="004E43F5">
        <w:rPr>
          <w:bCs/>
          <w:lang w:val="sr-Latn-RS"/>
        </w:rPr>
        <w:t xml:space="preserve">      </w:t>
      </w:r>
    </w:p>
    <w:p w:rsidR="0064620F" w:rsidRPr="006D0E9B" w:rsidRDefault="004E43F5" w:rsidP="005D5A1D">
      <w:pPr>
        <w:ind w:right="-22"/>
        <w:jc w:val="both"/>
        <w:rPr>
          <w:bCs/>
          <w:lang w:val="sr-Latn-RS"/>
        </w:rPr>
      </w:pPr>
      <w:r>
        <w:rPr>
          <w:bCs/>
          <w:lang w:val="sr-Latn-RS"/>
        </w:rPr>
        <w:t xml:space="preserve"> </w:t>
      </w:r>
    </w:p>
    <w:p w:rsidR="002C7CE5" w:rsidRPr="00725932" w:rsidRDefault="0064620F" w:rsidP="0069051B">
      <w:pPr>
        <w:ind w:right="-22"/>
        <w:jc w:val="both"/>
        <w:rPr>
          <w:bCs/>
          <w:lang w:val="sr-Latn-RS"/>
        </w:rPr>
      </w:pPr>
      <w:r w:rsidRPr="006D0E9B">
        <w:rPr>
          <w:bCs/>
          <w:lang w:val="sr-Latn-RS"/>
        </w:rPr>
        <w:t xml:space="preserve">[4] </w:t>
      </w:r>
      <w:r w:rsidR="002C7CE5">
        <w:rPr>
          <w:bCs/>
          <w:lang w:val="sr-Latn-RS"/>
        </w:rPr>
        <w:t>Dana 24</w:t>
      </w:r>
      <w:r w:rsidR="0069051B">
        <w:rPr>
          <w:bCs/>
          <w:lang w:val="sr-Latn-RS"/>
        </w:rPr>
        <w:t xml:space="preserve"> oktobra </w:t>
      </w:r>
      <w:r w:rsidR="002C7CE5">
        <w:rPr>
          <w:bCs/>
          <w:lang w:val="sr-Latn-RS"/>
        </w:rPr>
        <w:t xml:space="preserve">2014, Tužena je podnela žalbu protiv rešenja Specijalnog veća C-IV.-14-1201 od 25. septembra 2014, kojom osporava presudu u vezi proceduralnog osnova i </w:t>
      </w:r>
      <w:proofErr w:type="spellStart"/>
      <w:r w:rsidR="002C7CE5">
        <w:rPr>
          <w:bCs/>
          <w:lang w:val="sr-Latn-RS"/>
        </w:rPr>
        <w:t>merituma</w:t>
      </w:r>
      <w:proofErr w:type="spellEnd"/>
      <w:r w:rsidR="002C7CE5">
        <w:rPr>
          <w:bCs/>
          <w:lang w:val="sr-Latn-RS"/>
        </w:rPr>
        <w:t xml:space="preserve">. U žalbi tužena navodi da je istorijat postupka opisan u </w:t>
      </w:r>
      <w:proofErr w:type="spellStart"/>
      <w:r w:rsidR="002C7CE5">
        <w:rPr>
          <w:bCs/>
          <w:lang w:val="sr-Latn-RS"/>
        </w:rPr>
        <w:t>ožalbenoj</w:t>
      </w:r>
      <w:proofErr w:type="spellEnd"/>
      <w:r w:rsidR="002C7CE5">
        <w:rPr>
          <w:bCs/>
          <w:lang w:val="sr-Latn-RS"/>
        </w:rPr>
        <w:t xml:space="preserve"> presudi netačan i kao posledica toga ishod [ispravno: obrazloženje] Specijalnog veća je pogrešno. </w:t>
      </w:r>
      <w:r w:rsidR="00127B3F">
        <w:rPr>
          <w:bCs/>
          <w:lang w:val="sr-Latn-RS"/>
        </w:rPr>
        <w:t xml:space="preserve">Štaviše, prema mišljenju tužene, ova presuda ne ispunjava uslove navedene u članu 10.4.1 ZPK. Tužena dalje u </w:t>
      </w:r>
      <w:r w:rsidR="0069051B">
        <w:rPr>
          <w:bCs/>
          <w:lang w:val="sr-Latn-RS"/>
        </w:rPr>
        <w:t>žalb</w:t>
      </w:r>
      <w:r w:rsidR="00127B3F">
        <w:rPr>
          <w:bCs/>
          <w:lang w:val="sr-Latn-RS"/>
        </w:rPr>
        <w:t xml:space="preserve">i osporava </w:t>
      </w:r>
      <w:proofErr w:type="spellStart"/>
      <w:r w:rsidR="00127B3F">
        <w:rPr>
          <w:bCs/>
          <w:lang w:val="sr-Latn-RS"/>
        </w:rPr>
        <w:t>ožalbenu</w:t>
      </w:r>
      <w:proofErr w:type="spellEnd"/>
      <w:r w:rsidR="00127B3F">
        <w:rPr>
          <w:bCs/>
          <w:lang w:val="sr-Latn-RS"/>
        </w:rPr>
        <w:t xml:space="preserve"> presudu u vezi pitanja osnova za ova</w:t>
      </w:r>
      <w:r w:rsidR="00D46C40">
        <w:rPr>
          <w:bCs/>
          <w:lang w:val="sr-Latn-RS"/>
        </w:rPr>
        <w:t>j</w:t>
      </w:r>
      <w:r w:rsidR="00127B3F">
        <w:rPr>
          <w:bCs/>
          <w:lang w:val="sr-Latn-RS"/>
        </w:rPr>
        <w:t xml:space="preserve"> predmet. Tužena navodi da je pravno mišljenje Specijalnog veća pogrešno, kada navodi da član 608 Zakon o udruženom radu ne može da se primenjuje, dok prema mišljenju tužene </w:t>
      </w:r>
      <w:r w:rsidR="00D46C40">
        <w:rPr>
          <w:bCs/>
          <w:lang w:val="sr-Latn-RS"/>
        </w:rPr>
        <w:t>i dalje je na snazi</w:t>
      </w:r>
      <w:r w:rsidR="00127B3F">
        <w:rPr>
          <w:bCs/>
          <w:lang w:val="sr-Latn-RS"/>
        </w:rPr>
        <w:t xml:space="preserve"> u skladu sa </w:t>
      </w:r>
      <w:r w:rsidR="00D46C40">
        <w:rPr>
          <w:bCs/>
          <w:lang w:val="sr-Latn-RS"/>
        </w:rPr>
        <w:t xml:space="preserve">Uredbom </w:t>
      </w:r>
      <w:r w:rsidR="00127B3F">
        <w:rPr>
          <w:bCs/>
          <w:lang w:val="sr-Latn-RS"/>
        </w:rPr>
        <w:t>UNMIK</w:t>
      </w:r>
      <w:r w:rsidR="00D46C40">
        <w:rPr>
          <w:bCs/>
          <w:lang w:val="sr-Latn-RS"/>
        </w:rPr>
        <w:t>-a</w:t>
      </w:r>
      <w:r w:rsidR="00127B3F">
        <w:rPr>
          <w:bCs/>
          <w:lang w:val="sr-Latn-RS"/>
        </w:rPr>
        <w:t xml:space="preserve"> 1999/24 (član 1). Tužena je u svojoj žalbi osporila pravno mišljenje Specijalnog veća, da </w:t>
      </w:r>
      <w:r w:rsidR="00127B3F">
        <w:rPr>
          <w:bCs/>
          <w:lang w:val="sr-Latn-RS"/>
        </w:rPr>
        <w:lastRenderedPageBreak/>
        <w:t xml:space="preserve">zastarevanje žalbe nije slučaj u ovom predmetu. Tužena ponavlja da je tužilac podneo zahtev koji je zastareo i da tužilac nije podneo dokaze da je podneo zahtev pred bilo kojim sudom za naknadu njegovih neisplaćenih plata. Prema mišljenju tužene, u dopisu poslatom tužiocu u vezi prekida radnog odnosa, on se samo obaveštava o njegovom pravu da podnese zahtev za isplatu dela od 20% prihoda od privatizacije, i ovaj dopis nema uticaja na plate i navodi da je zaključak Specijalnog veća netačan kada smatra da se ovim dopisom obaveštava tužilac da će njegov zahtev za </w:t>
      </w:r>
      <w:r w:rsidR="00D46C40">
        <w:rPr>
          <w:bCs/>
          <w:lang w:val="sr-Latn-RS"/>
        </w:rPr>
        <w:t>[</w:t>
      </w:r>
      <w:r w:rsidR="00127B3F">
        <w:rPr>
          <w:bCs/>
          <w:lang w:val="sr-Latn-RS"/>
        </w:rPr>
        <w:t>neisplaćene</w:t>
      </w:r>
      <w:r w:rsidR="00D46C40">
        <w:rPr>
          <w:bCs/>
          <w:lang w:val="sr-Latn-RS"/>
        </w:rPr>
        <w:t>]</w:t>
      </w:r>
      <w:r w:rsidR="00127B3F">
        <w:rPr>
          <w:bCs/>
          <w:lang w:val="sr-Latn-RS"/>
        </w:rPr>
        <w:t xml:space="preserve"> plate na osnovu ugovora o radu</w:t>
      </w:r>
      <w:r w:rsidR="00725932">
        <w:rPr>
          <w:bCs/>
          <w:lang w:val="sr-Latn-RS"/>
        </w:rPr>
        <w:t xml:space="preserve"> biti razmotren nakon pokretanja postupka likvidacije</w:t>
      </w:r>
      <w:r w:rsidR="00D46C40">
        <w:rPr>
          <w:bCs/>
          <w:lang w:val="sr-Latn-RS"/>
        </w:rPr>
        <w:t xml:space="preserve"> DP</w:t>
      </w:r>
      <w:r w:rsidR="00725932">
        <w:rPr>
          <w:bCs/>
          <w:lang w:val="sr-Latn-RS"/>
        </w:rPr>
        <w:t xml:space="preserve">. </w:t>
      </w:r>
      <w:r w:rsidR="00725932" w:rsidRPr="00725932">
        <w:rPr>
          <w:bCs/>
          <w:lang w:val="sr-Latn-RS"/>
        </w:rPr>
        <w:t>Tužena traži</w:t>
      </w:r>
      <w:r w:rsidR="00725932">
        <w:rPr>
          <w:bCs/>
          <w:lang w:val="sr-Latn-RS"/>
        </w:rPr>
        <w:t xml:space="preserve"> od </w:t>
      </w:r>
      <w:r w:rsidR="00D46C40">
        <w:rPr>
          <w:bCs/>
          <w:lang w:val="sr-Latn-RS"/>
        </w:rPr>
        <w:t xml:space="preserve">Žalbenog veća </w:t>
      </w:r>
      <w:r w:rsidR="00725932">
        <w:rPr>
          <w:bCs/>
          <w:lang w:val="sr-Latn-RS"/>
        </w:rPr>
        <w:t xml:space="preserve">da poništi </w:t>
      </w:r>
      <w:proofErr w:type="spellStart"/>
      <w:r w:rsidR="00725932">
        <w:rPr>
          <w:bCs/>
          <w:lang w:val="sr-Latn-RS"/>
        </w:rPr>
        <w:t>ožalbenu</w:t>
      </w:r>
      <w:proofErr w:type="spellEnd"/>
      <w:r w:rsidR="00725932">
        <w:rPr>
          <w:bCs/>
          <w:lang w:val="sr-Latn-RS"/>
        </w:rPr>
        <w:t xml:space="preserve"> presudu Specijalnog veća ili da odluči u vezi osnova [</w:t>
      </w:r>
      <w:proofErr w:type="spellStart"/>
      <w:r w:rsidR="00725932">
        <w:rPr>
          <w:bCs/>
          <w:lang w:val="sr-Latn-RS"/>
        </w:rPr>
        <w:t>merituma</w:t>
      </w:r>
      <w:proofErr w:type="spellEnd"/>
      <w:r w:rsidR="00725932">
        <w:rPr>
          <w:bCs/>
          <w:lang w:val="sr-Latn-RS"/>
        </w:rPr>
        <w:t xml:space="preserve">] i da odbije žalbu </w:t>
      </w:r>
      <w:r w:rsidR="00D91E0F">
        <w:rPr>
          <w:bCs/>
          <w:lang w:val="sr-Latn-RS"/>
        </w:rPr>
        <w:t>tužioca</w:t>
      </w:r>
      <w:r w:rsidR="00725932">
        <w:rPr>
          <w:bCs/>
          <w:lang w:val="sr-Latn-RS"/>
        </w:rPr>
        <w:t xml:space="preserve"> protiv rešenja uprave za likvidaciju ili da usvoji </w:t>
      </w:r>
      <w:r w:rsidR="00D91E0F">
        <w:rPr>
          <w:bCs/>
          <w:lang w:val="sr-Latn-RS"/>
        </w:rPr>
        <w:t>r</w:t>
      </w:r>
      <w:r w:rsidR="00725932">
        <w:rPr>
          <w:bCs/>
          <w:lang w:val="sr-Latn-RS"/>
        </w:rPr>
        <w:t xml:space="preserve">ešenje Uprave za likvidaciju u vezi DP </w:t>
      </w:r>
      <w:r w:rsidR="00725932">
        <w:rPr>
          <w:bCs/>
          <w:i/>
          <w:lang w:val="sr-Latn-RS"/>
        </w:rPr>
        <w:t>D</w:t>
      </w:r>
      <w:r w:rsidR="00725932">
        <w:rPr>
          <w:bCs/>
          <w:lang w:val="sr-Latn-RS"/>
        </w:rPr>
        <w:t xml:space="preserve">. </w:t>
      </w:r>
      <w:r w:rsidR="00725932" w:rsidRPr="00725932">
        <w:rPr>
          <w:bCs/>
          <w:lang w:val="sr-Latn-RS"/>
        </w:rPr>
        <w:t xml:space="preserve">  </w:t>
      </w:r>
      <w:r w:rsidR="00127B3F" w:rsidRPr="00725932">
        <w:rPr>
          <w:bCs/>
          <w:lang w:val="sr-Latn-RS"/>
        </w:rPr>
        <w:t xml:space="preserve">    </w:t>
      </w:r>
      <w:r w:rsidR="002C7CE5" w:rsidRPr="00725932">
        <w:rPr>
          <w:bCs/>
          <w:lang w:val="sr-Latn-RS"/>
        </w:rPr>
        <w:t xml:space="preserve">    </w:t>
      </w:r>
    </w:p>
    <w:p w:rsidR="0064620F" w:rsidRPr="006D0E9B" w:rsidRDefault="0064620F" w:rsidP="005D5A1D">
      <w:pPr>
        <w:ind w:right="-22"/>
        <w:jc w:val="both"/>
        <w:rPr>
          <w:bCs/>
          <w:lang w:val="sr-Latn-RS"/>
        </w:rPr>
      </w:pPr>
    </w:p>
    <w:p w:rsidR="00725932" w:rsidRDefault="0064620F" w:rsidP="005D5A1D">
      <w:pPr>
        <w:ind w:right="-22"/>
        <w:jc w:val="both"/>
        <w:rPr>
          <w:bCs/>
          <w:lang w:val="sr-Latn-RS"/>
        </w:rPr>
      </w:pPr>
      <w:r w:rsidRPr="006D0E9B">
        <w:rPr>
          <w:bCs/>
          <w:lang w:val="sr-Latn-RS"/>
        </w:rPr>
        <w:t xml:space="preserve">[5] </w:t>
      </w:r>
      <w:r w:rsidR="00D91E0F">
        <w:rPr>
          <w:bCs/>
          <w:lang w:val="sr-Latn-RS"/>
        </w:rPr>
        <w:t xml:space="preserve">Dana 24 novembra </w:t>
      </w:r>
      <w:r w:rsidR="00B45EBB">
        <w:rPr>
          <w:bCs/>
          <w:lang w:val="sr-Latn-RS"/>
        </w:rPr>
        <w:t>2014, tužilac je podneo odgovor na žalbu, kojim traži od Žalbenog veća da dobije žalbu tužene i da potvrdi presudu Specijalnog veća kao isprav</w:t>
      </w:r>
      <w:r w:rsidR="00522878">
        <w:rPr>
          <w:bCs/>
          <w:lang w:val="sr-Latn-RS"/>
        </w:rPr>
        <w:t>nu</w:t>
      </w:r>
      <w:r w:rsidR="00B45EBB">
        <w:rPr>
          <w:bCs/>
          <w:lang w:val="sr-Latn-RS"/>
        </w:rPr>
        <w:t xml:space="preserve"> i zasnovanu na zakonu. Štaviše, u svom odgovoru na žalbu tužilac je naveo da Zakon o udruženom radu više nije na snazi jer je ukinut Zakonom o preduzećima, zato on osporava uveravanja tužioca u vezi zastarevanja zahtev</w:t>
      </w:r>
      <w:r w:rsidR="009913A8">
        <w:rPr>
          <w:bCs/>
          <w:lang w:val="sr-Latn-RS"/>
        </w:rPr>
        <w:t>a</w:t>
      </w:r>
      <w:r w:rsidR="00B45EBB">
        <w:rPr>
          <w:bCs/>
          <w:lang w:val="sr-Latn-RS"/>
        </w:rPr>
        <w:t xml:space="preserve"> shodno članu 608. Zakona o udruženom radu. Tužil</w:t>
      </w:r>
      <w:r w:rsidR="00522878">
        <w:rPr>
          <w:bCs/>
          <w:lang w:val="sr-Latn-RS"/>
        </w:rPr>
        <w:t>ac je naveo da su zaključci i p</w:t>
      </w:r>
      <w:r w:rsidR="00B45EBB">
        <w:rPr>
          <w:bCs/>
          <w:lang w:val="sr-Latn-RS"/>
        </w:rPr>
        <w:t xml:space="preserve">ravno obrazloženje Specijalnog veća ispravni te stoga ožalbena presuda mora biti potvrđena.  </w:t>
      </w:r>
    </w:p>
    <w:p w:rsidR="00A755EC" w:rsidRPr="00020FF4" w:rsidRDefault="00803F7D" w:rsidP="005D5A1D">
      <w:pPr>
        <w:ind w:right="-22"/>
        <w:jc w:val="both"/>
        <w:rPr>
          <w:bCs/>
          <w:lang w:val="sr-Latn-RS"/>
        </w:rPr>
      </w:pPr>
      <w:r w:rsidRPr="006D0E9B">
        <w:rPr>
          <w:bCs/>
          <w:lang w:val="sr-Latn-RS"/>
        </w:rPr>
        <w:t xml:space="preserve"> </w:t>
      </w:r>
    </w:p>
    <w:p w:rsidR="005613AF" w:rsidRPr="006D0E9B" w:rsidRDefault="00B45EBB" w:rsidP="005D5A1D">
      <w:pPr>
        <w:jc w:val="both"/>
        <w:rPr>
          <w:noProof/>
          <w:lang w:val="sr-Latn-RS"/>
        </w:rPr>
      </w:pPr>
      <w:r>
        <w:rPr>
          <w:b/>
          <w:lang w:val="sr-Latn-RS"/>
        </w:rPr>
        <w:t>Pravno obrazloženje</w:t>
      </w:r>
      <w:r w:rsidR="005613AF" w:rsidRPr="006D0E9B">
        <w:rPr>
          <w:b/>
          <w:bCs/>
          <w:noProof/>
          <w:lang w:val="sr-Latn-RS"/>
        </w:rPr>
        <w:t>:</w:t>
      </w:r>
      <w:r w:rsidR="0064620F" w:rsidRPr="006D0E9B">
        <w:rPr>
          <w:bCs/>
          <w:noProof/>
          <w:lang w:val="sr-Latn-RS"/>
        </w:rPr>
        <w:t xml:space="preserve"> [6] </w:t>
      </w:r>
      <w:r>
        <w:rPr>
          <w:lang w:val="sr-Latn-RS"/>
        </w:rPr>
        <w:t>Žalba je prihvatljiva ali neosnovana</w:t>
      </w:r>
      <w:r w:rsidR="005613AF" w:rsidRPr="006D0E9B">
        <w:rPr>
          <w:noProof/>
          <w:lang w:val="sr-Latn-RS"/>
        </w:rPr>
        <w:t>.</w:t>
      </w:r>
    </w:p>
    <w:p w:rsidR="0064620F" w:rsidRPr="006D0E9B" w:rsidRDefault="0064620F" w:rsidP="005D5A1D">
      <w:pPr>
        <w:jc w:val="both"/>
        <w:rPr>
          <w:noProof/>
          <w:lang w:val="sr-Latn-RS"/>
        </w:rPr>
      </w:pPr>
    </w:p>
    <w:p w:rsidR="005613AF" w:rsidRPr="006D0E9B" w:rsidRDefault="0064620F" w:rsidP="005D5A1D">
      <w:pPr>
        <w:jc w:val="both"/>
        <w:rPr>
          <w:noProof/>
          <w:lang w:val="sr-Latn-RS"/>
        </w:rPr>
      </w:pPr>
      <w:r w:rsidRPr="006D0E9B">
        <w:rPr>
          <w:lang w:val="sr-Latn-RS"/>
        </w:rPr>
        <w:t xml:space="preserve">[7] </w:t>
      </w:r>
      <w:r w:rsidR="00B45EBB">
        <w:rPr>
          <w:lang w:val="sr-Latn-RS"/>
        </w:rPr>
        <w:t>Na osnovu člana</w:t>
      </w:r>
      <w:r w:rsidR="005613AF" w:rsidRPr="006D0E9B">
        <w:rPr>
          <w:lang w:val="sr-Latn-RS"/>
        </w:rPr>
        <w:t xml:space="preserve"> 64.1 </w:t>
      </w:r>
      <w:r w:rsidR="00B45EBB">
        <w:rPr>
          <w:lang w:val="sr-Latn-RS"/>
        </w:rPr>
        <w:t>Aneksa</w:t>
      </w:r>
      <w:r w:rsidR="005613AF" w:rsidRPr="006D0E9B">
        <w:rPr>
          <w:lang w:val="sr-Latn-RS"/>
        </w:rPr>
        <w:t xml:space="preserve">, </w:t>
      </w:r>
      <w:r w:rsidR="00B45EBB">
        <w:rPr>
          <w:lang w:val="sr-Latn-RS"/>
        </w:rPr>
        <w:t>Žalbeno veće je odlučilo da ne održi usmenu raspravu.</w:t>
      </w:r>
    </w:p>
    <w:p w:rsidR="005613AF" w:rsidRPr="006D0E9B" w:rsidRDefault="005613AF" w:rsidP="005D5A1D">
      <w:pPr>
        <w:jc w:val="both"/>
        <w:rPr>
          <w:noProof/>
          <w:lang w:val="sr-Latn-RS"/>
        </w:rPr>
      </w:pPr>
    </w:p>
    <w:p w:rsidR="00C450FF" w:rsidRPr="006D0E9B" w:rsidRDefault="008B1A3A" w:rsidP="005D5A1D">
      <w:pPr>
        <w:jc w:val="both"/>
        <w:rPr>
          <w:lang w:val="sr-Latn-RS"/>
        </w:rPr>
      </w:pPr>
      <w:r>
        <w:rPr>
          <w:u w:val="single"/>
          <w:lang w:val="sr-Latn-RS"/>
        </w:rPr>
        <w:t xml:space="preserve">Osnovanosti žalbe i ocena Žalbenog veća </w:t>
      </w:r>
    </w:p>
    <w:p w:rsidR="008B1A3A" w:rsidRPr="008B1A3A" w:rsidRDefault="0064620F" w:rsidP="005D5A1D">
      <w:pPr>
        <w:jc w:val="both"/>
        <w:rPr>
          <w:lang w:val="sr-Latn-RS"/>
        </w:rPr>
      </w:pPr>
      <w:r w:rsidRPr="006D0E9B">
        <w:rPr>
          <w:lang w:val="sr-Latn-RS"/>
        </w:rPr>
        <w:t>[8</w:t>
      </w:r>
      <w:r w:rsidRPr="008B1A3A">
        <w:rPr>
          <w:lang w:val="sr-Latn-RS"/>
        </w:rPr>
        <w:t xml:space="preserve">] </w:t>
      </w:r>
      <w:r w:rsidR="008B1A3A" w:rsidRPr="008B1A3A">
        <w:rPr>
          <w:lang w:val="sr-Latn-RS"/>
        </w:rPr>
        <w:t>Napadnuta presuda</w:t>
      </w:r>
      <w:r w:rsidR="008B1A3A">
        <w:rPr>
          <w:lang w:val="sr-Latn-RS"/>
        </w:rPr>
        <w:t xml:space="preserve"> Specijalnog veća je pravilnu u svom ishodu i pravnom obrazloženju; stoga ista se potvrđuje. </w:t>
      </w:r>
      <w:r w:rsidR="008B1A3A" w:rsidRPr="008B1A3A">
        <w:rPr>
          <w:lang w:val="sr-Latn-RS"/>
        </w:rPr>
        <w:t xml:space="preserve"> </w:t>
      </w:r>
    </w:p>
    <w:p w:rsidR="002F568A" w:rsidRPr="006D0E9B" w:rsidRDefault="002F568A" w:rsidP="005D5A1D">
      <w:pPr>
        <w:jc w:val="both"/>
        <w:rPr>
          <w:lang w:val="sr-Latn-RS"/>
        </w:rPr>
      </w:pPr>
    </w:p>
    <w:p w:rsidR="008B1A3A" w:rsidRDefault="0064620F" w:rsidP="005D5A1D">
      <w:pPr>
        <w:jc w:val="both"/>
        <w:rPr>
          <w:lang w:val="sr-Latn-RS"/>
        </w:rPr>
      </w:pPr>
      <w:r w:rsidRPr="006D0E9B">
        <w:rPr>
          <w:lang w:val="sr-Latn-RS"/>
        </w:rPr>
        <w:t xml:space="preserve">[9] </w:t>
      </w:r>
      <w:r w:rsidR="008B1A3A">
        <w:rPr>
          <w:lang w:val="sr-Latn-RS"/>
        </w:rPr>
        <w:t xml:space="preserve">Žalbeno veće smatra da postignuti zaključci i obrazloženje korišćeno od strane Specijalnog veća o napadnutoj presudi su ispravni i kao takve ih takođe prihvata Žalbeno veće. Tužilac je svojim zahtevom podnetim Upravi za likvidaciju zahtevao neisplaćene plate za period mart – novembar 2006. </w:t>
      </w:r>
      <w:r w:rsidR="00041CB1">
        <w:rPr>
          <w:lang w:val="sr-Latn-RS"/>
        </w:rPr>
        <w:t xml:space="preserve">Nijedna od stranaka nije osporila radni odnos </w:t>
      </w:r>
      <w:r w:rsidR="00F26C62">
        <w:rPr>
          <w:lang w:val="sr-Latn-RS"/>
        </w:rPr>
        <w:t xml:space="preserve">tužioca </w:t>
      </w:r>
      <w:r w:rsidR="00041CB1">
        <w:rPr>
          <w:lang w:val="sr-Latn-RS"/>
        </w:rPr>
        <w:t xml:space="preserve">i neisplaćene plate za navedeni period. Tužena stoji uz tvrdnje da je zahtev tužioca za neisplaćene plate zastareo shodno članu 608. </w:t>
      </w:r>
      <w:r w:rsidR="00041CB1">
        <w:rPr>
          <w:bCs/>
          <w:lang w:val="sr-Latn-RS"/>
        </w:rPr>
        <w:t>Zakon o udruženom radu. Međutim, ova</w:t>
      </w:r>
      <w:r w:rsidR="00F26C62">
        <w:rPr>
          <w:bCs/>
          <w:lang w:val="sr-Latn-RS"/>
        </w:rPr>
        <w:t>j</w:t>
      </w:r>
      <w:r w:rsidR="00041CB1">
        <w:rPr>
          <w:bCs/>
          <w:lang w:val="sr-Latn-RS"/>
        </w:rPr>
        <w:t xml:space="preserve"> razlog, koji je korišćen u rešenju o odbijanju</w:t>
      </w:r>
      <w:r w:rsidR="00617F85">
        <w:rPr>
          <w:bCs/>
          <w:lang w:val="sr-Latn-RS"/>
        </w:rPr>
        <w:t xml:space="preserve"> zahteva</w:t>
      </w:r>
      <w:r w:rsidR="00041CB1">
        <w:rPr>
          <w:bCs/>
          <w:lang w:val="sr-Latn-RS"/>
        </w:rPr>
        <w:t xml:space="preserve"> je netačan. Dopis od 17</w:t>
      </w:r>
      <w:r w:rsidR="00617F85">
        <w:rPr>
          <w:bCs/>
          <w:lang w:val="sr-Latn-RS"/>
        </w:rPr>
        <w:t xml:space="preserve"> novembra </w:t>
      </w:r>
      <w:r w:rsidR="00041CB1">
        <w:rPr>
          <w:bCs/>
          <w:lang w:val="sr-Latn-RS"/>
        </w:rPr>
        <w:t>2006, koji je tužena uručila tužiocu, time obavestivši tužioca u vezi prekida radnog odnosa na dan prodaje DP, odnosno 17</w:t>
      </w:r>
      <w:r w:rsidR="00617F85">
        <w:rPr>
          <w:bCs/>
          <w:lang w:val="sr-Latn-RS"/>
        </w:rPr>
        <w:t xml:space="preserve"> novembra </w:t>
      </w:r>
      <w:r w:rsidR="00041CB1">
        <w:rPr>
          <w:bCs/>
          <w:lang w:val="sr-Latn-RS"/>
        </w:rPr>
        <w:t>2</w:t>
      </w:r>
      <w:r w:rsidR="00617F85">
        <w:rPr>
          <w:bCs/>
          <w:lang w:val="sr-Latn-RS"/>
        </w:rPr>
        <w:t>0</w:t>
      </w:r>
      <w:r w:rsidR="00041CB1">
        <w:rPr>
          <w:bCs/>
          <w:lang w:val="sr-Latn-RS"/>
        </w:rPr>
        <w:t>06, i takođe obaveštava tužioca da su neisplaćene plate, shodno ugovoru o radu</w:t>
      </w:r>
      <w:r w:rsidR="00617F85">
        <w:rPr>
          <w:bCs/>
          <w:lang w:val="sr-Latn-RS"/>
        </w:rPr>
        <w:t xml:space="preserve"> sa poslodavcem</w:t>
      </w:r>
      <w:r w:rsidR="00041CB1">
        <w:rPr>
          <w:bCs/>
          <w:lang w:val="sr-Latn-RS"/>
        </w:rPr>
        <w:t xml:space="preserve">, i dalje ostaju obaveza poslodavca, dok će takav zahtev biti razmotren </w:t>
      </w:r>
      <w:r w:rsidR="00EC3D74">
        <w:rPr>
          <w:bCs/>
          <w:lang w:val="sr-Latn-RS"/>
        </w:rPr>
        <w:t xml:space="preserve">u skladu sa postupkom likvidacije o kojoj će biti obavešten. Ovim dopisom se zapravo obaveštava tužilac da je obaveza poslodavca da se bavi platama zaposlenih ukoliko nisu isplaćene. Na osnovu ovih razloga, Specijalno veće je pravilno odlučilo kada je usvojilo žalbu žalioca kao osnovanu i poništilo rešenje Uprave za likvidaciju na osnovu razloga datih u presudi, razlozi koje takođe prihvata Žalbeno veće.    </w:t>
      </w:r>
      <w:r w:rsidR="008B1A3A">
        <w:rPr>
          <w:lang w:val="sr-Latn-RS"/>
        </w:rPr>
        <w:t xml:space="preserve"> </w:t>
      </w:r>
    </w:p>
    <w:p w:rsidR="0064620F" w:rsidRPr="006D0E9B" w:rsidRDefault="0064620F" w:rsidP="005D5A1D">
      <w:pPr>
        <w:jc w:val="both"/>
        <w:rPr>
          <w:lang w:val="sr-Latn-RS"/>
        </w:rPr>
      </w:pPr>
    </w:p>
    <w:p w:rsidR="00EC3D74" w:rsidRPr="00EC3D74" w:rsidRDefault="0064620F" w:rsidP="005D5A1D">
      <w:pPr>
        <w:jc w:val="both"/>
        <w:rPr>
          <w:i/>
          <w:lang w:val="sr-Latn-RS"/>
        </w:rPr>
      </w:pPr>
      <w:r w:rsidRPr="006D0E9B">
        <w:rPr>
          <w:lang w:val="sr-Latn-RS"/>
        </w:rPr>
        <w:t>[10]</w:t>
      </w:r>
      <w:r w:rsidR="00EC3D74">
        <w:rPr>
          <w:lang w:val="sr-Latn-RS"/>
        </w:rPr>
        <w:t xml:space="preserve"> Žalbeno veće se ne slaže sa navodima tužene da napadnuta presuda sadrži netačan istorijat postupka i da je iz ovog razloga </w:t>
      </w:r>
      <w:r w:rsidR="00617F85">
        <w:rPr>
          <w:lang w:val="sr-Latn-RS"/>
        </w:rPr>
        <w:t xml:space="preserve">zaključak i </w:t>
      </w:r>
      <w:r w:rsidR="00EC3D74">
        <w:rPr>
          <w:lang w:val="sr-Latn-RS"/>
        </w:rPr>
        <w:t xml:space="preserve">obrazloženje Specijalnog veća ispalo pogrešno. Presudom Specijalnog veća nije prekršen član 10.4.1 ZPK, kao što tužena navodi u žalbi, s </w:t>
      </w:r>
      <w:r w:rsidR="00EC3D74">
        <w:rPr>
          <w:lang w:val="sr-Latn-RS"/>
        </w:rPr>
        <w:lastRenderedPageBreak/>
        <w:t>obzirom</w:t>
      </w:r>
      <w:r w:rsidR="009B6970">
        <w:rPr>
          <w:lang w:val="sr-Latn-RS"/>
        </w:rPr>
        <w:t xml:space="preserve"> da</w:t>
      </w:r>
      <w:r w:rsidR="00EC3D74">
        <w:rPr>
          <w:lang w:val="sr-Latn-RS"/>
        </w:rPr>
        <w:t xml:space="preserve"> su dati razlozi i pitanje je jasno i ubedljivo razjašnjeno stankama. Tuženi je takođe u </w:t>
      </w:r>
      <w:r w:rsidR="009B6970">
        <w:rPr>
          <w:lang w:val="sr-Latn-RS"/>
        </w:rPr>
        <w:t>žalbi</w:t>
      </w:r>
      <w:r w:rsidR="00EC3D74">
        <w:rPr>
          <w:lang w:val="sr-Latn-RS"/>
        </w:rPr>
        <w:t xml:space="preserve"> pomenuo pitanje zastarevanja </w:t>
      </w:r>
      <w:r w:rsidR="009B6970">
        <w:rPr>
          <w:lang w:val="sr-Latn-RS"/>
        </w:rPr>
        <w:t>zahteva</w:t>
      </w:r>
      <w:r w:rsidR="00EC3D74">
        <w:rPr>
          <w:lang w:val="sr-Latn-RS"/>
        </w:rPr>
        <w:t xml:space="preserve"> tužioca. Žalbeno veće smatra da zastarevanje potraživanja ne može da se primenjuje u ovom predmetu, s obzirom da Zakon o KAP</w:t>
      </w:r>
      <w:r w:rsidR="009B6970">
        <w:rPr>
          <w:lang w:val="sr-Latn-RS"/>
        </w:rPr>
        <w:t>-u</w:t>
      </w:r>
      <w:r w:rsidR="00EC3D74">
        <w:rPr>
          <w:lang w:val="sr-Latn-RS"/>
        </w:rPr>
        <w:t>, kojim se reguliše postupak likvidacije i način za ispunjavanje potraživanja poverilaca</w:t>
      </w:r>
      <w:r w:rsidR="009B6970">
        <w:rPr>
          <w:lang w:val="sr-Latn-RS"/>
        </w:rPr>
        <w:t xml:space="preserve"> kao specijalni zakon</w:t>
      </w:r>
      <w:r w:rsidR="00EC3D74">
        <w:rPr>
          <w:lang w:val="sr-Latn-RS"/>
        </w:rPr>
        <w:t xml:space="preserve">, primenjuje se u ovom predmetu u vezi sa </w:t>
      </w:r>
      <w:r w:rsidR="00EC3D74">
        <w:rPr>
          <w:bCs/>
          <w:lang w:val="sr-Latn-RS"/>
        </w:rPr>
        <w:t>Zakonom o udruženom radu koji je generalni zakon. Žalbeno veće se ne slaže sa tvrdnjama tuženog da dopis o obaveštavanju od 17</w:t>
      </w:r>
      <w:r w:rsidR="009B6970">
        <w:rPr>
          <w:bCs/>
          <w:lang w:val="sr-Latn-RS"/>
        </w:rPr>
        <w:t xml:space="preserve"> novembra </w:t>
      </w:r>
      <w:r w:rsidR="00EC3D74">
        <w:rPr>
          <w:bCs/>
          <w:lang w:val="sr-Latn-RS"/>
        </w:rPr>
        <w:t>2006, dostavljen tužiocu, je po prirodi samo obaveštenje za 20% deonica. Ovaj dopis ne pominje ekskluzivno pravo na 20% deonica, iako se to može razumeti [na takav način]</w:t>
      </w:r>
      <w:r w:rsidR="000A7155">
        <w:rPr>
          <w:bCs/>
          <w:lang w:val="sr-Latn-RS"/>
        </w:rPr>
        <w:t xml:space="preserve">, nego se odnosi na plate i ostala potraživanja poverilaca koje tužilac može da ima protiv DP u postupku likvidacije. Stoga, iz navedenih razloga neprihvatljivo je uveravanje tužene da ovaj dopis nije imao uticaja na realizaciju prava tužioca u vezi neisplaćenih plata od strane DP. </w:t>
      </w:r>
      <w:r w:rsidR="00EC3D74">
        <w:rPr>
          <w:bCs/>
          <w:lang w:val="sr-Latn-RS"/>
        </w:rPr>
        <w:t xml:space="preserve"> </w:t>
      </w:r>
      <w:r w:rsidR="00EC3D74">
        <w:rPr>
          <w:lang w:val="sr-Latn-RS"/>
        </w:rPr>
        <w:t xml:space="preserve"> </w:t>
      </w:r>
    </w:p>
    <w:p w:rsidR="00EB6987" w:rsidRPr="006D0E9B" w:rsidRDefault="008131DF" w:rsidP="005D5A1D">
      <w:pPr>
        <w:jc w:val="both"/>
        <w:rPr>
          <w:lang w:val="sr-Latn-RS"/>
        </w:rPr>
      </w:pPr>
      <w:r w:rsidRPr="006D0E9B">
        <w:rPr>
          <w:lang w:val="sr-Latn-RS"/>
        </w:rPr>
        <w:t xml:space="preserve"> </w:t>
      </w:r>
    </w:p>
    <w:p w:rsidR="00EB6987" w:rsidRPr="006D0E9B" w:rsidRDefault="00EB6987" w:rsidP="005D5A1D">
      <w:pPr>
        <w:jc w:val="both"/>
        <w:rPr>
          <w:lang w:val="sr-Latn-RS"/>
        </w:rPr>
      </w:pPr>
    </w:p>
    <w:p w:rsidR="00856310" w:rsidRPr="006D0E9B" w:rsidRDefault="0064620F" w:rsidP="00911056">
      <w:pPr>
        <w:jc w:val="both"/>
        <w:rPr>
          <w:lang w:val="sr-Latn-RS"/>
        </w:rPr>
      </w:pPr>
      <w:r w:rsidRPr="006D0E9B">
        <w:rPr>
          <w:noProof/>
          <w:lang w:val="sr-Latn-RS"/>
        </w:rPr>
        <w:t xml:space="preserve">[11] </w:t>
      </w:r>
      <w:r w:rsidR="000A7155">
        <w:rPr>
          <w:noProof/>
          <w:lang w:val="sr-Latn-RS"/>
        </w:rPr>
        <w:t xml:space="preserve">Na osnovu gorenavedenog i shodno članu </w:t>
      </w:r>
      <w:r w:rsidR="005613AF" w:rsidRPr="006D0E9B">
        <w:rPr>
          <w:noProof/>
          <w:lang w:val="sr-Latn-RS"/>
        </w:rPr>
        <w:t xml:space="preserve">10.10 </w:t>
      </w:r>
      <w:r w:rsidR="000A7155">
        <w:rPr>
          <w:noProof/>
          <w:lang w:val="sr-Latn-RS"/>
        </w:rPr>
        <w:t>ZPK</w:t>
      </w:r>
      <w:r w:rsidR="005613AF" w:rsidRPr="006D0E9B">
        <w:rPr>
          <w:noProof/>
          <w:lang w:val="sr-Latn-RS"/>
        </w:rPr>
        <w:t xml:space="preserve">, </w:t>
      </w:r>
      <w:r w:rsidR="000A7155">
        <w:rPr>
          <w:noProof/>
          <w:lang w:val="sr-Latn-RS"/>
        </w:rPr>
        <w:t>odlučeno je kao u dispozitivu</w:t>
      </w:r>
      <w:r w:rsidR="005613AF" w:rsidRPr="006D0E9B">
        <w:rPr>
          <w:lang w:val="sr-Latn-RS"/>
        </w:rPr>
        <w:t>.</w:t>
      </w:r>
    </w:p>
    <w:sectPr w:rsidR="00856310" w:rsidRPr="006D0E9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BA07DE"/>
    <w:multiLevelType w:val="hybridMultilevel"/>
    <w:tmpl w:val="F7CA8C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744434B1"/>
    <w:multiLevelType w:val="hybridMultilevel"/>
    <w:tmpl w:val="8C365846"/>
    <w:lvl w:ilvl="0" w:tplc="BD0C2C2A">
      <w:numFmt w:val="bullet"/>
      <w:lvlText w:val="-"/>
      <w:lvlJc w:val="left"/>
      <w:pPr>
        <w:tabs>
          <w:tab w:val="num" w:pos="720"/>
        </w:tabs>
        <w:ind w:left="72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D241783"/>
    <w:multiLevelType w:val="hybridMultilevel"/>
    <w:tmpl w:val="47DE8F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DDB"/>
    <w:rsid w:val="00020FF4"/>
    <w:rsid w:val="00041CB1"/>
    <w:rsid w:val="000A449F"/>
    <w:rsid w:val="000A7155"/>
    <w:rsid w:val="000C7D62"/>
    <w:rsid w:val="000F2034"/>
    <w:rsid w:val="0010142C"/>
    <w:rsid w:val="00127B3F"/>
    <w:rsid w:val="00147551"/>
    <w:rsid w:val="001A5924"/>
    <w:rsid w:val="001C0B2B"/>
    <w:rsid w:val="0020227B"/>
    <w:rsid w:val="00202DDB"/>
    <w:rsid w:val="002272E4"/>
    <w:rsid w:val="00283BB0"/>
    <w:rsid w:val="002C7CE5"/>
    <w:rsid w:val="002E74BF"/>
    <w:rsid w:val="002E77EA"/>
    <w:rsid w:val="002F568A"/>
    <w:rsid w:val="00347743"/>
    <w:rsid w:val="0038393F"/>
    <w:rsid w:val="003A4748"/>
    <w:rsid w:val="003E1080"/>
    <w:rsid w:val="003E757B"/>
    <w:rsid w:val="004B41E1"/>
    <w:rsid w:val="004C3272"/>
    <w:rsid w:val="004D0CE0"/>
    <w:rsid w:val="004E26C0"/>
    <w:rsid w:val="004E43F5"/>
    <w:rsid w:val="00522878"/>
    <w:rsid w:val="005613AF"/>
    <w:rsid w:val="0058061B"/>
    <w:rsid w:val="005A65D5"/>
    <w:rsid w:val="005B1B29"/>
    <w:rsid w:val="005B3507"/>
    <w:rsid w:val="005D5A1D"/>
    <w:rsid w:val="00617F85"/>
    <w:rsid w:val="0064620F"/>
    <w:rsid w:val="0065555B"/>
    <w:rsid w:val="00672B93"/>
    <w:rsid w:val="00676714"/>
    <w:rsid w:val="0069051B"/>
    <w:rsid w:val="006A4310"/>
    <w:rsid w:val="006D0E9B"/>
    <w:rsid w:val="0071222C"/>
    <w:rsid w:val="00725932"/>
    <w:rsid w:val="007655BD"/>
    <w:rsid w:val="007F1A77"/>
    <w:rsid w:val="00803F7D"/>
    <w:rsid w:val="00807210"/>
    <w:rsid w:val="008131DF"/>
    <w:rsid w:val="00840A42"/>
    <w:rsid w:val="00855893"/>
    <w:rsid w:val="00856310"/>
    <w:rsid w:val="008A1D6E"/>
    <w:rsid w:val="008B1A3A"/>
    <w:rsid w:val="00907A03"/>
    <w:rsid w:val="00911056"/>
    <w:rsid w:val="0091473B"/>
    <w:rsid w:val="00962439"/>
    <w:rsid w:val="009913A8"/>
    <w:rsid w:val="009B6796"/>
    <w:rsid w:val="009B6970"/>
    <w:rsid w:val="00A027DD"/>
    <w:rsid w:val="00A32233"/>
    <w:rsid w:val="00A37BDC"/>
    <w:rsid w:val="00A6458F"/>
    <w:rsid w:val="00A65960"/>
    <w:rsid w:val="00A755EC"/>
    <w:rsid w:val="00A8433F"/>
    <w:rsid w:val="00B04FB9"/>
    <w:rsid w:val="00B16281"/>
    <w:rsid w:val="00B45EBB"/>
    <w:rsid w:val="00B6037A"/>
    <w:rsid w:val="00BB053F"/>
    <w:rsid w:val="00BB25B7"/>
    <w:rsid w:val="00C450FF"/>
    <w:rsid w:val="00C50FB3"/>
    <w:rsid w:val="00D10D8C"/>
    <w:rsid w:val="00D41F78"/>
    <w:rsid w:val="00D46C40"/>
    <w:rsid w:val="00D82917"/>
    <w:rsid w:val="00D91E0F"/>
    <w:rsid w:val="00DF0182"/>
    <w:rsid w:val="00E0010D"/>
    <w:rsid w:val="00E1456F"/>
    <w:rsid w:val="00E66301"/>
    <w:rsid w:val="00EB6987"/>
    <w:rsid w:val="00EC3D74"/>
    <w:rsid w:val="00ED7A92"/>
    <w:rsid w:val="00EF5073"/>
    <w:rsid w:val="00F1478B"/>
    <w:rsid w:val="00F255AD"/>
    <w:rsid w:val="00F26C62"/>
    <w:rsid w:val="00F65475"/>
    <w:rsid w:val="00F95956"/>
    <w:rsid w:val="00FE3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DDB"/>
    <w:pPr>
      <w:spacing w:after="0" w:line="240" w:lineRule="auto"/>
    </w:pPr>
    <w:rPr>
      <w:rFonts w:ascii="Times New Roman" w:eastAsia="MS Mincho"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DDB"/>
    <w:pPr>
      <w:ind w:left="720"/>
      <w:contextualSpacing/>
    </w:pPr>
  </w:style>
  <w:style w:type="paragraph" w:styleId="BalloonText">
    <w:name w:val="Balloon Text"/>
    <w:basedOn w:val="Normal"/>
    <w:link w:val="BalloonTextChar"/>
    <w:uiPriority w:val="99"/>
    <w:semiHidden/>
    <w:unhideWhenUsed/>
    <w:rsid w:val="00F65475"/>
    <w:rPr>
      <w:rFonts w:ascii="Tahoma" w:hAnsi="Tahoma" w:cs="Tahoma"/>
      <w:sz w:val="16"/>
      <w:szCs w:val="16"/>
    </w:rPr>
  </w:style>
  <w:style w:type="character" w:customStyle="1" w:styleId="BalloonTextChar">
    <w:name w:val="Balloon Text Char"/>
    <w:basedOn w:val="DefaultParagraphFont"/>
    <w:link w:val="BalloonText"/>
    <w:uiPriority w:val="99"/>
    <w:semiHidden/>
    <w:rsid w:val="00F65475"/>
    <w:rPr>
      <w:rFonts w:ascii="Tahoma" w:eastAsia="MS Mincho"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DDB"/>
    <w:pPr>
      <w:spacing w:after="0" w:line="240" w:lineRule="auto"/>
    </w:pPr>
    <w:rPr>
      <w:rFonts w:ascii="Times New Roman" w:eastAsia="MS Mincho"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DDB"/>
    <w:pPr>
      <w:ind w:left="720"/>
      <w:contextualSpacing/>
    </w:pPr>
  </w:style>
  <w:style w:type="paragraph" w:styleId="BalloonText">
    <w:name w:val="Balloon Text"/>
    <w:basedOn w:val="Normal"/>
    <w:link w:val="BalloonTextChar"/>
    <w:uiPriority w:val="99"/>
    <w:semiHidden/>
    <w:unhideWhenUsed/>
    <w:rsid w:val="00F65475"/>
    <w:rPr>
      <w:rFonts w:ascii="Tahoma" w:hAnsi="Tahoma" w:cs="Tahoma"/>
      <w:sz w:val="16"/>
      <w:szCs w:val="16"/>
    </w:rPr>
  </w:style>
  <w:style w:type="character" w:customStyle="1" w:styleId="BalloonTextChar">
    <w:name w:val="Balloon Text Char"/>
    <w:basedOn w:val="DefaultParagraphFont"/>
    <w:link w:val="BalloonText"/>
    <w:uiPriority w:val="99"/>
    <w:semiHidden/>
    <w:rsid w:val="00F65475"/>
    <w:rPr>
      <w:rFonts w:ascii="Tahoma" w:eastAsia="MS Mincho"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94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1543C-9740-4858-8DC9-1931469FE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1163</Words>
  <Characters>6634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Sahit Sylejmani</dc:creator>
  <cp:lastModifiedBy>Timo Knaebe</cp:lastModifiedBy>
  <cp:revision>3</cp:revision>
  <cp:lastPrinted>2015-09-29T14:38:00Z</cp:lastPrinted>
  <dcterms:created xsi:type="dcterms:W3CDTF">2015-11-30T14:35:00Z</dcterms:created>
  <dcterms:modified xsi:type="dcterms:W3CDTF">2015-11-30T14:35:00Z</dcterms:modified>
</cp:coreProperties>
</file>