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FB" w:rsidRPr="002959FB" w:rsidRDefault="002959FB" w:rsidP="002959FB">
      <w:pPr>
        <w:jc w:val="center"/>
        <w:rPr>
          <w:rStyle w:val="Strong"/>
          <w:sz w:val="28"/>
          <w:szCs w:val="28"/>
          <w:lang w:val="en-GB"/>
        </w:rPr>
      </w:pPr>
      <w:r w:rsidRPr="002959FB">
        <w:rPr>
          <w:rStyle w:val="Strong"/>
          <w:sz w:val="28"/>
          <w:szCs w:val="28"/>
          <w:lang w:val="en-GB"/>
        </w:rPr>
        <w:t>CANCELLATION</w:t>
      </w:r>
    </w:p>
    <w:p w:rsidR="002959FB" w:rsidRPr="002959FB" w:rsidRDefault="002959FB" w:rsidP="002959FB">
      <w:pPr>
        <w:jc w:val="center"/>
        <w:rPr>
          <w:rStyle w:val="Strong"/>
          <w:sz w:val="28"/>
          <w:szCs w:val="28"/>
          <w:lang w:val="en-GB"/>
        </w:rPr>
      </w:pPr>
      <w:r w:rsidRPr="002959FB">
        <w:rPr>
          <w:rStyle w:val="Strong"/>
          <w:sz w:val="28"/>
          <w:szCs w:val="28"/>
          <w:lang w:val="en-GB"/>
        </w:rPr>
        <w:t xml:space="preserve">OF A SUPPLY TENDER PROCEDURE </w:t>
      </w:r>
    </w:p>
    <w:p w:rsidR="00DB7830" w:rsidRDefault="00DB7830" w:rsidP="002959FB">
      <w:pPr>
        <w:spacing w:before="0" w:after="120"/>
        <w:jc w:val="center"/>
        <w:rPr>
          <w:b/>
          <w:sz w:val="28"/>
          <w:szCs w:val="28"/>
          <w:lang w:val="en-GB"/>
        </w:rPr>
      </w:pPr>
      <w:r w:rsidRPr="00DB7830">
        <w:rPr>
          <w:b/>
          <w:sz w:val="28"/>
          <w:szCs w:val="28"/>
          <w:lang w:val="en-GB"/>
        </w:rPr>
        <w:t xml:space="preserve">Supply of Construction Materials under a Framework Contract No.7- Electrical material </w:t>
      </w:r>
    </w:p>
    <w:p w:rsidR="002959FB" w:rsidRPr="002959FB" w:rsidRDefault="002959FB" w:rsidP="002959FB">
      <w:pPr>
        <w:spacing w:before="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2959FB">
        <w:rPr>
          <w:b/>
          <w:sz w:val="28"/>
          <w:szCs w:val="28"/>
          <w:lang w:val="en-GB"/>
        </w:rPr>
        <w:t>Pristina, Kosovo</w:t>
      </w:r>
    </w:p>
    <w:p w:rsidR="00496969" w:rsidRDefault="00496969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8C4AF2" w:rsidRDefault="008C4AF2" w:rsidP="00DB7830">
      <w:pPr>
        <w:ind w:left="851" w:hanging="567"/>
        <w:outlineLvl w:val="0"/>
        <w:rPr>
          <w:snapToGrid/>
        </w:rPr>
      </w:pPr>
      <w:r w:rsidRPr="00800C28">
        <w:rPr>
          <w:snapToGrid/>
        </w:rPr>
        <w:t>PROC/873/19</w:t>
      </w:r>
      <w:proofErr w:type="gramStart"/>
      <w:r w:rsidRPr="00800C28">
        <w:rPr>
          <w:snapToGrid/>
        </w:rPr>
        <w:t>/(</w:t>
      </w:r>
      <w:proofErr w:type="spellStart"/>
      <w:proofErr w:type="gramEnd"/>
      <w:r w:rsidRPr="00800C28">
        <w:rPr>
          <w:snapToGrid/>
        </w:rPr>
        <w:t>Europeaid</w:t>
      </w:r>
      <w:proofErr w:type="spellEnd"/>
      <w:r w:rsidRPr="00800C28">
        <w:rPr>
          <w:snapToGrid/>
        </w:rPr>
        <w:t>/140247/ID/SUP/XK)</w:t>
      </w:r>
    </w:p>
    <w:p w:rsidR="00DB7830" w:rsidRPr="00800C28" w:rsidRDefault="00DB7830" w:rsidP="00DB7830">
      <w:pPr>
        <w:ind w:left="851" w:hanging="567"/>
        <w:outlineLvl w:val="0"/>
        <w:rPr>
          <w:snapToGrid/>
        </w:rPr>
      </w:pPr>
    </w:p>
    <w:p w:rsidR="00B448FA" w:rsidRPr="00664635" w:rsidRDefault="00B448FA" w:rsidP="008C4AF2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8C4AF2" w:rsidRDefault="008C4AF2" w:rsidP="008C4AF2">
      <w:pPr>
        <w:ind w:left="851" w:hanging="567"/>
        <w:outlineLvl w:val="0"/>
        <w:rPr>
          <w:snapToGrid/>
        </w:rPr>
      </w:pPr>
      <w:r w:rsidRPr="00800C28">
        <w:rPr>
          <w:snapToGrid/>
        </w:rPr>
        <w:t>11 April 2019</w:t>
      </w:r>
    </w:p>
    <w:p w:rsidR="00DB7830" w:rsidRPr="00800C28" w:rsidRDefault="00DB7830" w:rsidP="008C4AF2">
      <w:pPr>
        <w:ind w:left="851" w:hanging="567"/>
        <w:outlineLvl w:val="0"/>
        <w:rPr>
          <w:snapToGrid/>
        </w:rPr>
      </w:pP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2959FB" w:rsidRDefault="002959FB" w:rsidP="002959FB">
      <w:pPr>
        <w:snapToGrid w:val="0"/>
        <w:ind w:left="284"/>
        <w:outlineLvl w:val="0"/>
        <w:rPr>
          <w:snapToGrid/>
        </w:rPr>
      </w:pPr>
      <w:r w:rsidRPr="002959FB">
        <w:rPr>
          <w:snapToGrid/>
        </w:rPr>
        <w:t>Council Joint Action 2008/124/CFSP of 04 February 2008, on the European Union Rule of Law Mission in Kosovo, (hereafter “EULEX Kosovo”) as amended by Joint Action  2009/445/CFSP of 9 June 2009 and by Council Decision 2010/322/CFSP of 8 June 2010, Council Decision 2012/291/CFSP of 5 June 2012, Council Decision 2013/241/CFSP of 27 May 2013, Council Decision 2014/349/CFSP of 12 June 2014, Council Decision 2014/685/CFSP of 29 September 2014 and Council Decision (CFSP)2015/901 of 11 June 2015, Council Decision (CFSP)2016/947 of 14 June 2016, Council Decision (CFSP) 2016/1990 of 14 November 2016 and Council Decision (CFSP) 2017/973 of 8 June 2017, Council Decision (CFSP) 2018/856 of 8 June 2018.</w:t>
      </w:r>
    </w:p>
    <w:p w:rsidR="00DB7830" w:rsidRPr="002959FB" w:rsidRDefault="00DB7830" w:rsidP="002959FB">
      <w:pPr>
        <w:snapToGrid w:val="0"/>
        <w:ind w:left="284"/>
        <w:outlineLvl w:val="0"/>
        <w:rPr>
          <w:b/>
          <w:snapToGrid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2959FB" w:rsidRDefault="002959FB" w:rsidP="002959FB">
      <w:pPr>
        <w:pStyle w:val="Blockquote"/>
        <w:ind w:left="284"/>
        <w:rPr>
          <w:snapToGrid/>
        </w:rPr>
      </w:pPr>
      <w:r w:rsidRPr="00800C28">
        <w:rPr>
          <w:snapToGrid/>
        </w:rPr>
        <w:t>EULEX Kosovo</w:t>
      </w:r>
    </w:p>
    <w:p w:rsidR="00DB7830" w:rsidRPr="00800C28" w:rsidRDefault="00DB7830" w:rsidP="002959FB">
      <w:pPr>
        <w:pStyle w:val="Blockquote"/>
        <w:ind w:left="284"/>
        <w:rPr>
          <w:snapToGrid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2959FB" w:rsidRPr="00800C28" w:rsidRDefault="002959FB" w:rsidP="00800C28">
      <w:pPr>
        <w:pStyle w:val="Blockquote"/>
        <w:ind w:left="284"/>
        <w:rPr>
          <w:snapToGrid/>
        </w:rPr>
      </w:pPr>
      <w:r w:rsidRPr="00800C28">
        <w:rPr>
          <w:snapToGrid/>
        </w:rPr>
        <w:t>The cancellation of tender procedure the following justification:</w:t>
      </w:r>
    </w:p>
    <w:p w:rsidR="002959FB" w:rsidRPr="00800C28" w:rsidRDefault="002959FB" w:rsidP="00800C28">
      <w:pPr>
        <w:pStyle w:val="Blockquote"/>
        <w:ind w:left="284"/>
        <w:rPr>
          <w:snapToGrid/>
        </w:rPr>
      </w:pPr>
      <w:r w:rsidRPr="00800C28">
        <w:rPr>
          <w:snapToGrid/>
        </w:rPr>
        <w:t>In violation of article 22 of t</w:t>
      </w:r>
      <w:r w:rsidR="00800C28" w:rsidRPr="00800C28">
        <w:rPr>
          <w:snapToGrid/>
        </w:rPr>
        <w:t>he Instructions to Tenderers the tenderer</w:t>
      </w:r>
      <w:r w:rsidRPr="00800C28">
        <w:rPr>
          <w:snapToGrid/>
        </w:rPr>
        <w:t xml:space="preserve"> failed to provide the countersigned contract 30 days from the contract cover letter.</w:t>
      </w:r>
      <w:r w:rsidR="00800C28" w:rsidRPr="00800C28">
        <w:rPr>
          <w:snapToGrid/>
        </w:rPr>
        <w:t xml:space="preserve"> Consequently, the awarded tenderer withdrew its tender.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DD" w:rsidRDefault="006D45DD">
      <w:r>
        <w:separator/>
      </w:r>
    </w:p>
  </w:endnote>
  <w:endnote w:type="continuationSeparator" w:id="0">
    <w:p w:rsidR="006D45DD" w:rsidRDefault="006D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DB7830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DB7830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DD" w:rsidRDefault="006D45DD" w:rsidP="00A51CC0">
      <w:pPr>
        <w:spacing w:before="120" w:after="0"/>
      </w:pPr>
      <w:r>
        <w:separator/>
      </w:r>
    </w:p>
  </w:footnote>
  <w:footnote w:type="continuationSeparator" w:id="0">
    <w:p w:rsidR="006D45DD" w:rsidRDefault="006D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B4753"/>
    <w:rsid w:val="001E0E68"/>
    <w:rsid w:val="002047DF"/>
    <w:rsid w:val="00210CA6"/>
    <w:rsid w:val="002206AD"/>
    <w:rsid w:val="00242259"/>
    <w:rsid w:val="00246EF2"/>
    <w:rsid w:val="0027149B"/>
    <w:rsid w:val="002959F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64635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00C28"/>
    <w:rsid w:val="00814656"/>
    <w:rsid w:val="00862D26"/>
    <w:rsid w:val="00874EA2"/>
    <w:rsid w:val="008943D0"/>
    <w:rsid w:val="008A3F4C"/>
    <w:rsid w:val="008C4AF2"/>
    <w:rsid w:val="00912CB8"/>
    <w:rsid w:val="0092670B"/>
    <w:rsid w:val="00930C06"/>
    <w:rsid w:val="0093664B"/>
    <w:rsid w:val="00981097"/>
    <w:rsid w:val="00993F23"/>
    <w:rsid w:val="009A115A"/>
    <w:rsid w:val="009A4E17"/>
    <w:rsid w:val="009A5A7F"/>
    <w:rsid w:val="009B5E88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B7830"/>
    <w:rsid w:val="00DC4D5F"/>
    <w:rsid w:val="00DD00B3"/>
    <w:rsid w:val="00DF558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99BB-48B9-4405-967E-E4BF1D0A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Edona Zeneli</cp:lastModifiedBy>
  <cp:revision>4</cp:revision>
  <cp:lastPrinted>2013-12-16T10:49:00Z</cp:lastPrinted>
  <dcterms:created xsi:type="dcterms:W3CDTF">2019-10-03T14:40:00Z</dcterms:created>
  <dcterms:modified xsi:type="dcterms:W3CDTF">2019-11-08T10:16:00Z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duboile</vt:lpwstr>
  </property>
</Properties>
</file>