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16F6" w14:textId="083497D9" w:rsidR="0047783A" w:rsidRPr="00B5440B" w:rsidRDefault="0047783A" w:rsidP="00E95ED8">
      <w:pPr>
        <w:pStyle w:val="Heading1"/>
        <w:keepNext w:val="0"/>
        <w:numPr>
          <w:ilvl w:val="0"/>
          <w:numId w:val="0"/>
        </w:numPr>
        <w:jc w:val="center"/>
        <w:rPr>
          <w:rFonts w:ascii="Times New Roman" w:hAnsi="Times New Roman"/>
          <w:iCs/>
          <w:sz w:val="28"/>
          <w:szCs w:val="28"/>
          <w:lang w:val="en-GB"/>
        </w:rPr>
      </w:pPr>
      <w:bookmarkStart w:id="0" w:name="_Toc42488096"/>
      <w:r w:rsidRPr="00B5440B">
        <w:rPr>
          <w:rFonts w:ascii="Times New Roman" w:hAnsi="Times New Roman"/>
          <w:iCs/>
          <w:sz w:val="28"/>
          <w:szCs w:val="28"/>
          <w:lang w:val="en-GB"/>
        </w:rPr>
        <w:t>SPECIAL CONDITIONS</w:t>
      </w:r>
      <w:bookmarkEnd w:id="0"/>
      <w:r w:rsidR="003F3783" w:rsidRPr="00B5440B">
        <w:rPr>
          <w:rFonts w:ascii="Times New Roman" w:hAnsi="Times New Roman"/>
          <w:iCs/>
          <w:sz w:val="28"/>
          <w:szCs w:val="28"/>
          <w:lang w:val="en-GB"/>
        </w:rPr>
        <w:t xml:space="preserve"> FOR EUROPEAN UNION EXTERNAL ACTIONS</w:t>
      </w:r>
    </w:p>
    <w:p w14:paraId="1334B0B7" w14:textId="1B4198D0" w:rsidR="0047783A" w:rsidRPr="00B5440B" w:rsidRDefault="005A123C" w:rsidP="0047783A">
      <w:pPr>
        <w:spacing w:before="240"/>
        <w:ind w:left="567" w:hanging="567"/>
        <w:outlineLvl w:val="0"/>
        <w:rPr>
          <w:rFonts w:ascii="Times New Roman Bold" w:hAnsi="Times New Roman Bold"/>
          <w:b/>
          <w:smallCaps/>
          <w:sz w:val="28"/>
          <w:szCs w:val="28"/>
        </w:rPr>
      </w:pPr>
      <w:r w:rsidRPr="00B5440B">
        <w:rPr>
          <w:rFonts w:ascii="Times New Roman Bold" w:hAnsi="Times New Roman Bold"/>
          <w:b/>
          <w:smallCaps/>
          <w:sz w:val="28"/>
          <w:szCs w:val="28"/>
        </w:rPr>
        <w:t>Contents</w:t>
      </w:r>
    </w:p>
    <w:p w14:paraId="1B4ECA1C" w14:textId="3317773A" w:rsidR="00317D86" w:rsidRPr="003D6B6C" w:rsidRDefault="0047783A" w:rsidP="0047783A">
      <w:pPr>
        <w:jc w:val="both"/>
        <w:rPr>
          <w:rFonts w:ascii="Times New Roman" w:hAnsi="Times New Roman"/>
          <w:sz w:val="22"/>
          <w:szCs w:val="22"/>
        </w:rPr>
      </w:pPr>
      <w:r w:rsidRPr="003D6B6C">
        <w:rPr>
          <w:rFonts w:ascii="Times New Roman" w:hAnsi="Times New Roman"/>
          <w:sz w:val="22"/>
          <w:szCs w:val="22"/>
        </w:rPr>
        <w:t>These conditions amplify and supplement</w:t>
      </w:r>
      <w:r w:rsidR="00317D86">
        <w:rPr>
          <w:rFonts w:ascii="Times New Roman" w:hAnsi="Times New Roman"/>
          <w:sz w:val="22"/>
          <w:szCs w:val="22"/>
        </w:rPr>
        <w:t xml:space="preserve"> </w:t>
      </w:r>
      <w:r w:rsidRPr="003D6B6C">
        <w:rPr>
          <w:rFonts w:ascii="Times New Roman" w:hAnsi="Times New Roman"/>
          <w:sz w:val="22"/>
          <w:szCs w:val="22"/>
        </w:rPr>
        <w:t xml:space="preserve">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w:t>
      </w:r>
      <w:r w:rsidR="00317D86">
        <w:rPr>
          <w:rFonts w:ascii="Times New Roman" w:hAnsi="Times New Roman"/>
          <w:sz w:val="22"/>
          <w:szCs w:val="22"/>
        </w:rPr>
        <w:t xml:space="preserve"> </w:t>
      </w:r>
      <w:r w:rsidRPr="003D6B6C">
        <w:rPr>
          <w:rFonts w:ascii="Times New Roman" w:hAnsi="Times New Roman"/>
          <w:sz w:val="22"/>
          <w:szCs w:val="22"/>
        </w:rPr>
        <w:t xml:space="preserve">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bookmarkStart w:id="1" w:name="_Hlk132980891"/>
      <w:r w:rsidR="00154A06">
        <w:rPr>
          <w:rFonts w:ascii="Times New Roman" w:hAnsi="Times New Roman"/>
          <w:sz w:val="22"/>
          <w:szCs w:val="22"/>
        </w:rPr>
        <w:t>c</w:t>
      </w:r>
      <w:r w:rsidRPr="003D6B6C">
        <w:rPr>
          <w:rFonts w:ascii="Times New Roman" w:hAnsi="Times New Roman"/>
          <w:sz w:val="22"/>
          <w:szCs w:val="22"/>
        </w:rPr>
        <w:t>onditions</w:t>
      </w:r>
      <w:r w:rsidR="00555E74">
        <w:rPr>
          <w:rFonts w:ascii="Times New Roman" w:hAnsi="Times New Roman"/>
          <w:sz w:val="22"/>
          <w:szCs w:val="22"/>
        </w:rPr>
        <w:t>.</w:t>
      </w:r>
      <w:r w:rsidR="00556F39" w:rsidRPr="00556F39">
        <w:rPr>
          <w:rFonts w:ascii="Times New Roman" w:hAnsi="Times New Roman"/>
          <w:sz w:val="22"/>
          <w:szCs w:val="22"/>
        </w:rPr>
        <w:t xml:space="preserve"> Exceptionally, and with the approval of the competent European Commission departments, other clauses can be indicated to cover particular situations. </w:t>
      </w:r>
      <w:bookmarkEnd w:id="1"/>
    </w:p>
    <w:p w14:paraId="17152D5C" w14:textId="77777777" w:rsidR="00A13EB8" w:rsidRPr="00B5440B" w:rsidRDefault="00A13EB8" w:rsidP="00B5440B">
      <w:pPr>
        <w:outlineLvl w:val="0"/>
        <w:rPr>
          <w:rFonts w:ascii="Times New Roman" w:hAnsi="Times New Roman"/>
          <w:b/>
          <w:sz w:val="24"/>
          <w:szCs w:val="24"/>
        </w:rPr>
      </w:pPr>
      <w:bookmarkStart w:id="2" w:name="_Toc124934896"/>
      <w:r w:rsidRPr="00B5440B">
        <w:rPr>
          <w:rFonts w:ascii="Times New Roman" w:hAnsi="Times New Roman"/>
          <w:b/>
          <w:sz w:val="24"/>
          <w:szCs w:val="24"/>
        </w:rPr>
        <w:t>The subject of the contract shall be:</w:t>
      </w:r>
    </w:p>
    <w:p w14:paraId="6645EFCB" w14:textId="77777777" w:rsidR="00430776" w:rsidRPr="00430776" w:rsidRDefault="00E95ED8" w:rsidP="00E95ED8">
      <w:pPr>
        <w:numPr>
          <w:ilvl w:val="1"/>
          <w:numId w:val="27"/>
        </w:numPr>
        <w:jc w:val="both"/>
        <w:rPr>
          <w:rFonts w:ascii="Times New Roman" w:hAnsi="Times New Roman"/>
          <w:sz w:val="22"/>
          <w:szCs w:val="22"/>
        </w:rPr>
      </w:pPr>
      <w:r>
        <w:rPr>
          <w:rFonts w:ascii="Times New Roman" w:hAnsi="Times New Roman"/>
          <w:sz w:val="22"/>
        </w:rPr>
        <w:t>T</w:t>
      </w:r>
      <w:r w:rsidR="00A13EB8" w:rsidRPr="0043240C">
        <w:rPr>
          <w:rFonts w:ascii="Times New Roman" w:hAnsi="Times New Roman"/>
          <w:sz w:val="22"/>
        </w:rPr>
        <w:t>he</w:t>
      </w:r>
      <w:bookmarkStart w:id="3" w:name="_Hlk132980677"/>
      <w:r>
        <w:rPr>
          <w:rFonts w:ascii="Times New Roman" w:hAnsi="Times New Roman"/>
          <w:sz w:val="22"/>
        </w:rPr>
        <w:t xml:space="preserve"> </w:t>
      </w:r>
      <w:r w:rsidRPr="00261371">
        <w:rPr>
          <w:rFonts w:ascii="Times New Roman" w:hAnsi="Times New Roman"/>
          <w:sz w:val="22"/>
        </w:rPr>
        <w:t xml:space="preserve">subject of the framework contract </w:t>
      </w:r>
      <w:r w:rsidRPr="004F1F8C">
        <w:rPr>
          <w:rFonts w:ascii="Times New Roman" w:hAnsi="Times New Roman"/>
          <w:sz w:val="22"/>
        </w:rPr>
        <w:t>shall be</w:t>
      </w:r>
      <w:r w:rsidRPr="00261371">
        <w:rPr>
          <w:rFonts w:ascii="Times New Roman" w:hAnsi="Times New Roman"/>
          <w:sz w:val="22"/>
        </w:rPr>
        <w:t xml:space="preserve"> the supply and delivery by the Contractor of (see Annex II and III of the Tender Dossier for the relevant description of the items and the yearly estimated quantities of items that MAY be purchased during the duration of the framework contract) </w:t>
      </w:r>
      <w:r w:rsidRPr="0066082E">
        <w:rPr>
          <w:rFonts w:ascii="Times New Roman" w:hAnsi="Times New Roman"/>
          <w:sz w:val="22"/>
        </w:rPr>
        <w:t>in 2 (two) lot at EULEX Kosovo, Pristina, DAP</w:t>
      </w:r>
      <w:r w:rsidRPr="0066082E">
        <w:rPr>
          <w:rFonts w:ascii="Times New Roman" w:hAnsi="Times New Roman"/>
          <w:sz w:val="22"/>
        </w:rPr>
        <w:footnoteReference w:id="1"/>
      </w:r>
      <w:r w:rsidRPr="0066082E">
        <w:rPr>
          <w:rFonts w:ascii="Times New Roman" w:hAnsi="Times New Roman"/>
          <w:sz w:val="22"/>
        </w:rPr>
        <w:t>.</w:t>
      </w:r>
    </w:p>
    <w:tbl>
      <w:tblPr>
        <w:tblW w:w="6865" w:type="dxa"/>
        <w:tblInd w:w="803" w:type="dxa"/>
        <w:tblLook w:val="01E0" w:firstRow="1" w:lastRow="1" w:firstColumn="1" w:lastColumn="1" w:noHBand="0" w:noVBand="0"/>
      </w:tblPr>
      <w:tblGrid>
        <w:gridCol w:w="1465"/>
        <w:gridCol w:w="5400"/>
      </w:tblGrid>
      <w:tr w:rsidR="00E95ED8" w:rsidRPr="00261371" w14:paraId="657A4457" w14:textId="77777777" w:rsidTr="00291AFC">
        <w:tc>
          <w:tcPr>
            <w:tcW w:w="1465" w:type="dxa"/>
            <w:tcBorders>
              <w:top w:val="single" w:sz="4" w:space="0" w:color="auto"/>
              <w:left w:val="single" w:sz="4" w:space="0" w:color="auto"/>
              <w:bottom w:val="single" w:sz="4" w:space="0" w:color="auto"/>
              <w:right w:val="single" w:sz="4" w:space="0" w:color="auto"/>
            </w:tcBorders>
          </w:tcPr>
          <w:p w14:paraId="4BD0E4BB" w14:textId="77777777" w:rsidR="00E95ED8" w:rsidRPr="00261371" w:rsidRDefault="00E95ED8" w:rsidP="00291AFC">
            <w:pPr>
              <w:spacing w:before="0" w:after="0"/>
              <w:rPr>
                <w:rFonts w:ascii="Times New Roman" w:hAnsi="Times New Roman"/>
                <w:snapToGrid/>
                <w:sz w:val="22"/>
                <w:szCs w:val="22"/>
              </w:rPr>
            </w:pPr>
            <w:r w:rsidRPr="00261371">
              <w:rPr>
                <w:rFonts w:ascii="Times New Roman" w:hAnsi="Times New Roman"/>
                <w:snapToGrid/>
                <w:sz w:val="22"/>
                <w:szCs w:val="22"/>
              </w:rPr>
              <w:t>Lot 1</w:t>
            </w:r>
          </w:p>
        </w:tc>
        <w:tc>
          <w:tcPr>
            <w:tcW w:w="5400" w:type="dxa"/>
            <w:tcBorders>
              <w:top w:val="single" w:sz="4" w:space="0" w:color="auto"/>
              <w:left w:val="single" w:sz="4" w:space="0" w:color="auto"/>
              <w:bottom w:val="single" w:sz="4" w:space="0" w:color="auto"/>
              <w:right w:val="single" w:sz="4" w:space="0" w:color="auto"/>
            </w:tcBorders>
          </w:tcPr>
          <w:p w14:paraId="27E3B3ED" w14:textId="77777777" w:rsidR="00E95ED8" w:rsidRPr="00261371" w:rsidRDefault="00E95ED8" w:rsidP="00291AFC">
            <w:pPr>
              <w:spacing w:before="0" w:after="0"/>
              <w:jc w:val="center"/>
              <w:rPr>
                <w:rFonts w:ascii="Times New Roman" w:hAnsi="Times New Roman"/>
                <w:snapToGrid/>
                <w:sz w:val="22"/>
                <w:szCs w:val="22"/>
              </w:rPr>
            </w:pPr>
            <w:r w:rsidRPr="00261371">
              <w:rPr>
                <w:rFonts w:ascii="Times New Roman" w:hAnsi="Times New Roman"/>
                <w:snapToGrid/>
                <w:sz w:val="22"/>
                <w:szCs w:val="22"/>
              </w:rPr>
              <w:t>Medicaments</w:t>
            </w:r>
          </w:p>
        </w:tc>
      </w:tr>
      <w:tr w:rsidR="00E95ED8" w:rsidRPr="00261371" w14:paraId="47906C16" w14:textId="77777777" w:rsidTr="00291AFC">
        <w:trPr>
          <w:trHeight w:val="120"/>
        </w:trPr>
        <w:tc>
          <w:tcPr>
            <w:tcW w:w="1465" w:type="dxa"/>
            <w:tcBorders>
              <w:top w:val="single" w:sz="4" w:space="0" w:color="auto"/>
              <w:left w:val="single" w:sz="4" w:space="0" w:color="auto"/>
              <w:bottom w:val="single" w:sz="4" w:space="0" w:color="auto"/>
              <w:right w:val="single" w:sz="4" w:space="0" w:color="auto"/>
            </w:tcBorders>
          </w:tcPr>
          <w:p w14:paraId="1E9CB51E" w14:textId="77777777" w:rsidR="00E95ED8" w:rsidRPr="00261371" w:rsidRDefault="00E95ED8" w:rsidP="00291AFC">
            <w:pPr>
              <w:spacing w:before="0" w:after="0"/>
              <w:rPr>
                <w:rFonts w:ascii="Times New Roman" w:hAnsi="Times New Roman"/>
                <w:snapToGrid/>
                <w:sz w:val="22"/>
                <w:szCs w:val="22"/>
              </w:rPr>
            </w:pPr>
            <w:r>
              <w:rPr>
                <w:rFonts w:ascii="Times New Roman" w:hAnsi="Times New Roman"/>
                <w:snapToGrid/>
                <w:sz w:val="22"/>
                <w:szCs w:val="22"/>
              </w:rPr>
              <w:t>Lot 2</w:t>
            </w:r>
          </w:p>
        </w:tc>
        <w:tc>
          <w:tcPr>
            <w:tcW w:w="5400" w:type="dxa"/>
            <w:tcBorders>
              <w:top w:val="single" w:sz="4" w:space="0" w:color="auto"/>
              <w:left w:val="single" w:sz="4" w:space="0" w:color="auto"/>
              <w:bottom w:val="single" w:sz="4" w:space="0" w:color="auto"/>
              <w:right w:val="single" w:sz="4" w:space="0" w:color="auto"/>
            </w:tcBorders>
          </w:tcPr>
          <w:p w14:paraId="7CDD0EDF" w14:textId="77777777" w:rsidR="00E95ED8" w:rsidRPr="00261371" w:rsidRDefault="00E95ED8" w:rsidP="00291AFC">
            <w:pPr>
              <w:spacing w:before="0" w:after="0"/>
              <w:jc w:val="center"/>
              <w:rPr>
                <w:rFonts w:ascii="Times New Roman" w:hAnsi="Times New Roman"/>
                <w:snapToGrid/>
                <w:sz w:val="22"/>
                <w:szCs w:val="22"/>
              </w:rPr>
            </w:pPr>
            <w:r>
              <w:rPr>
                <w:rFonts w:ascii="Times New Roman" w:hAnsi="Times New Roman"/>
                <w:snapToGrid/>
                <w:sz w:val="22"/>
                <w:szCs w:val="22"/>
              </w:rPr>
              <w:t>Medical Products</w:t>
            </w:r>
          </w:p>
        </w:tc>
      </w:tr>
    </w:tbl>
    <w:p w14:paraId="0A8F5133" w14:textId="77777777" w:rsidR="00E95ED8" w:rsidRDefault="00E95ED8" w:rsidP="00E95ED8">
      <w:pPr>
        <w:spacing w:before="240" w:after="240"/>
        <w:ind w:left="709" w:hanging="709"/>
        <w:jc w:val="both"/>
        <w:rPr>
          <w:rFonts w:ascii="Times New Roman" w:hAnsi="Times New Roman"/>
          <w:sz w:val="22"/>
        </w:rPr>
      </w:pPr>
      <w:r w:rsidRPr="00515419">
        <w:rPr>
          <w:rFonts w:ascii="Times New Roman" w:hAnsi="Times New Roman"/>
          <w:sz w:val="22"/>
        </w:rPr>
        <w:t>1.2</w:t>
      </w:r>
      <w:r w:rsidRPr="00515419">
        <w:rPr>
          <w:rFonts w:ascii="Times New Roman" w:hAnsi="Times New Roman"/>
          <w:sz w:val="22"/>
        </w:rPr>
        <w:tab/>
      </w:r>
      <w:r w:rsidRPr="007B70EE">
        <w:rPr>
          <w:rFonts w:ascii="Times New Roman" w:hAnsi="Times New Roman"/>
          <w:sz w:val="22"/>
        </w:rPr>
        <w:t xml:space="preserve">The </w:t>
      </w:r>
      <w:r>
        <w:rPr>
          <w:rFonts w:ascii="Times New Roman" w:hAnsi="Times New Roman"/>
          <w:sz w:val="22"/>
        </w:rPr>
        <w:t>c</w:t>
      </w:r>
      <w:r w:rsidRPr="007B70EE">
        <w:rPr>
          <w:rFonts w:ascii="Times New Roman" w:hAnsi="Times New Roman"/>
          <w:sz w:val="22"/>
        </w:rPr>
        <w:t xml:space="preserve">ontractor shall comply strictly with the terms of the </w:t>
      </w:r>
      <w:r>
        <w:rPr>
          <w:rFonts w:ascii="Times New Roman" w:hAnsi="Times New Roman"/>
          <w:sz w:val="22"/>
        </w:rPr>
        <w:t>s</w:t>
      </w:r>
      <w:r w:rsidRPr="007B70EE">
        <w:rPr>
          <w:rFonts w:ascii="Times New Roman" w:hAnsi="Times New Roman"/>
          <w:sz w:val="22"/>
        </w:rPr>
        <w:t xml:space="preserve">pecial </w:t>
      </w:r>
      <w:r>
        <w:rPr>
          <w:rFonts w:ascii="Times New Roman" w:hAnsi="Times New Roman"/>
          <w:sz w:val="22"/>
        </w:rPr>
        <w:t>c</w:t>
      </w:r>
      <w:r w:rsidRPr="007B70EE">
        <w:rPr>
          <w:rFonts w:ascii="Times New Roman" w:hAnsi="Times New Roman"/>
          <w:sz w:val="22"/>
        </w:rPr>
        <w:t>onditions and the technical annex</w:t>
      </w:r>
      <w:r>
        <w:rPr>
          <w:rFonts w:ascii="Times New Roman" w:hAnsi="Times New Roman"/>
          <w:sz w:val="22"/>
        </w:rPr>
        <w:t>.</w:t>
      </w:r>
    </w:p>
    <w:p w14:paraId="372AD6C3" w14:textId="276A2B63" w:rsidR="00E95ED8" w:rsidRPr="00515419" w:rsidRDefault="00E95ED8" w:rsidP="00E95ED8">
      <w:pPr>
        <w:spacing w:before="240" w:after="240"/>
        <w:ind w:left="709" w:hanging="709"/>
        <w:jc w:val="both"/>
        <w:rPr>
          <w:rFonts w:ascii="Times New Roman" w:hAnsi="Times New Roman"/>
          <w:sz w:val="22"/>
        </w:rPr>
      </w:pPr>
      <w:r>
        <w:rPr>
          <w:rFonts w:ascii="Times New Roman" w:hAnsi="Times New Roman"/>
          <w:sz w:val="22"/>
        </w:rPr>
        <w:t xml:space="preserve">            </w:t>
      </w:r>
      <w:r w:rsidRPr="00C17732">
        <w:rPr>
          <w:rFonts w:ascii="Times New Roman" w:hAnsi="Times New Roman"/>
          <w:sz w:val="22"/>
        </w:rPr>
        <w:t>The framework contract will be implemented by “</w:t>
      </w:r>
      <w:r w:rsidR="00206C94">
        <w:rPr>
          <w:rFonts w:ascii="Times New Roman" w:hAnsi="Times New Roman"/>
          <w:sz w:val="22"/>
        </w:rPr>
        <w:t>Order Forms</w:t>
      </w:r>
      <w:r w:rsidRPr="00C17732">
        <w:rPr>
          <w:rFonts w:ascii="Times New Roman" w:hAnsi="Times New Roman"/>
          <w:sz w:val="22"/>
        </w:rPr>
        <w:t>”. I.e. whenever the Contracting Authority intends to acquire items pursuant to this framework contact, it shall send a “Order</w:t>
      </w:r>
      <w:r w:rsidR="00206C94">
        <w:rPr>
          <w:rFonts w:ascii="Times New Roman" w:hAnsi="Times New Roman"/>
          <w:sz w:val="22"/>
        </w:rPr>
        <w:t xml:space="preserve"> Form</w:t>
      </w:r>
      <w:r w:rsidRPr="00C17732">
        <w:rPr>
          <w:rFonts w:ascii="Times New Roman" w:hAnsi="Times New Roman"/>
          <w:sz w:val="22"/>
        </w:rPr>
        <w:t>” to the contractor, specifying the quantities of items to be supplied. Deliveries shall take place in accordance with the terms and conditions of the special and general conditions, supplemented and/or amended by the specific terms for each particular delivery as set out in the “</w:t>
      </w:r>
      <w:r w:rsidR="007B7A35">
        <w:rPr>
          <w:rFonts w:ascii="Times New Roman" w:hAnsi="Times New Roman"/>
          <w:sz w:val="22"/>
        </w:rPr>
        <w:t>order forms</w:t>
      </w:r>
      <w:r w:rsidRPr="00C17732">
        <w:rPr>
          <w:rFonts w:ascii="Times New Roman" w:hAnsi="Times New Roman"/>
          <w:sz w:val="22"/>
        </w:rPr>
        <w:t>”</w:t>
      </w:r>
      <w:r>
        <w:rPr>
          <w:rFonts w:ascii="Times New Roman" w:hAnsi="Times New Roman"/>
          <w:sz w:val="22"/>
        </w:rPr>
        <w:t>, but only after the</w:t>
      </w:r>
      <w:r w:rsidR="007B7A35">
        <w:rPr>
          <w:rFonts w:ascii="Times New Roman" w:hAnsi="Times New Roman"/>
          <w:sz w:val="22"/>
        </w:rPr>
        <w:t xml:space="preserve"> </w:t>
      </w:r>
      <w:r>
        <w:rPr>
          <w:rFonts w:ascii="Times New Roman" w:hAnsi="Times New Roman"/>
          <w:sz w:val="22"/>
        </w:rPr>
        <w:t>order</w:t>
      </w:r>
      <w:r w:rsidR="007B7A35">
        <w:rPr>
          <w:rFonts w:ascii="Times New Roman" w:hAnsi="Times New Roman"/>
          <w:sz w:val="22"/>
        </w:rPr>
        <w:t xml:space="preserve"> form</w:t>
      </w:r>
      <w:r>
        <w:rPr>
          <w:rFonts w:ascii="Times New Roman" w:hAnsi="Times New Roman"/>
          <w:sz w:val="22"/>
        </w:rPr>
        <w:t xml:space="preserve"> is signed by both parties</w:t>
      </w:r>
      <w:r w:rsidRPr="00C17732">
        <w:rPr>
          <w:rFonts w:ascii="Times New Roman" w:hAnsi="Times New Roman"/>
          <w:sz w:val="22"/>
        </w:rPr>
        <w:t>.</w:t>
      </w:r>
      <w:r w:rsidRPr="00515419">
        <w:rPr>
          <w:rFonts w:ascii="Times New Roman" w:hAnsi="Times New Roman"/>
          <w:sz w:val="22"/>
        </w:rPr>
        <w:t xml:space="preserve"> </w:t>
      </w:r>
    </w:p>
    <w:p w14:paraId="017DCA64" w14:textId="77777777" w:rsidR="00E95ED8" w:rsidRPr="00515419" w:rsidRDefault="00E95ED8" w:rsidP="00E95ED8">
      <w:pPr>
        <w:spacing w:before="240" w:after="240"/>
        <w:ind w:left="709" w:hanging="709"/>
        <w:jc w:val="both"/>
        <w:rPr>
          <w:rFonts w:ascii="Times New Roman" w:hAnsi="Times New Roman"/>
          <w:sz w:val="22"/>
        </w:rPr>
      </w:pPr>
      <w:r w:rsidRPr="00515419">
        <w:rPr>
          <w:rFonts w:ascii="Times New Roman" w:hAnsi="Times New Roman"/>
          <w:sz w:val="22"/>
        </w:rPr>
        <w:tab/>
        <w:t xml:space="preserve">The quantities estimated and specified in ANNEX II +III are only indicative quantities and do NOT compel the </w:t>
      </w:r>
      <w:r>
        <w:rPr>
          <w:rFonts w:ascii="Times New Roman" w:hAnsi="Times New Roman"/>
          <w:sz w:val="22"/>
        </w:rPr>
        <w:t>C</w:t>
      </w:r>
      <w:r w:rsidRPr="00515419">
        <w:rPr>
          <w:rFonts w:ascii="Times New Roman" w:hAnsi="Times New Roman"/>
          <w:sz w:val="22"/>
        </w:rPr>
        <w:t xml:space="preserve">ontracting </w:t>
      </w:r>
      <w:r>
        <w:rPr>
          <w:rFonts w:ascii="Times New Roman" w:hAnsi="Times New Roman"/>
          <w:sz w:val="22"/>
        </w:rPr>
        <w:t>A</w:t>
      </w:r>
      <w:r w:rsidRPr="00515419">
        <w:rPr>
          <w:rFonts w:ascii="Times New Roman" w:hAnsi="Times New Roman"/>
          <w:sz w:val="22"/>
        </w:rPr>
        <w:t xml:space="preserve">uthority to buy any of them. The </w:t>
      </w:r>
      <w:r>
        <w:rPr>
          <w:rFonts w:ascii="Times New Roman" w:hAnsi="Times New Roman"/>
          <w:sz w:val="22"/>
        </w:rPr>
        <w:t>C</w:t>
      </w:r>
      <w:r w:rsidRPr="00515419">
        <w:rPr>
          <w:rFonts w:ascii="Times New Roman" w:hAnsi="Times New Roman"/>
          <w:sz w:val="22"/>
        </w:rPr>
        <w:t xml:space="preserve">ontracting </w:t>
      </w:r>
      <w:r>
        <w:rPr>
          <w:rFonts w:ascii="Times New Roman" w:hAnsi="Times New Roman"/>
          <w:sz w:val="22"/>
        </w:rPr>
        <w:t>A</w:t>
      </w:r>
      <w:r w:rsidRPr="00515419">
        <w:rPr>
          <w:rFonts w:ascii="Times New Roman" w:hAnsi="Times New Roman"/>
          <w:sz w:val="22"/>
        </w:rPr>
        <w:t xml:space="preserve">uthority may at its own discretion purchase fewer or more quantities that those estimated quantities per item. The overall financial ceiling being the maximum budget available for this framework contract as expressed in article 3.1 below. </w:t>
      </w:r>
    </w:p>
    <w:p w14:paraId="51C9FFBF" w14:textId="77777777" w:rsidR="00E95ED8" w:rsidRPr="00515419" w:rsidRDefault="00E95ED8" w:rsidP="00E95ED8">
      <w:pPr>
        <w:spacing w:before="240" w:after="240"/>
        <w:ind w:left="709" w:hanging="709"/>
        <w:jc w:val="both"/>
        <w:rPr>
          <w:rFonts w:ascii="Times New Roman" w:hAnsi="Times New Roman"/>
          <w:sz w:val="22"/>
        </w:rPr>
      </w:pPr>
      <w:r w:rsidRPr="00515419">
        <w:rPr>
          <w:rFonts w:ascii="Times New Roman" w:hAnsi="Times New Roman"/>
          <w:sz w:val="22"/>
        </w:rPr>
        <w:tab/>
        <w:t xml:space="preserve">The contractor shall NOT be entitled to compensation and shall NOT be allowed to claim for changes of the unit prices, in case the </w:t>
      </w:r>
      <w:r>
        <w:rPr>
          <w:rFonts w:ascii="Times New Roman" w:hAnsi="Times New Roman"/>
          <w:sz w:val="22"/>
        </w:rPr>
        <w:t>C</w:t>
      </w:r>
      <w:r w:rsidRPr="00515419">
        <w:rPr>
          <w:rFonts w:ascii="Times New Roman" w:hAnsi="Times New Roman"/>
          <w:sz w:val="22"/>
        </w:rPr>
        <w:t xml:space="preserve">ontracting </w:t>
      </w:r>
      <w:r>
        <w:rPr>
          <w:rFonts w:ascii="Times New Roman" w:hAnsi="Times New Roman"/>
          <w:sz w:val="22"/>
        </w:rPr>
        <w:t>A</w:t>
      </w:r>
      <w:r w:rsidRPr="00515419">
        <w:rPr>
          <w:rFonts w:ascii="Times New Roman" w:hAnsi="Times New Roman"/>
          <w:sz w:val="22"/>
        </w:rPr>
        <w:t xml:space="preserve">uthority decides to purchase fewer, or more quantities than the indicative ones specified per item in Annex II + III and/or in case the </w:t>
      </w:r>
      <w:r>
        <w:rPr>
          <w:rFonts w:ascii="Times New Roman" w:hAnsi="Times New Roman"/>
          <w:sz w:val="22"/>
        </w:rPr>
        <w:t>C</w:t>
      </w:r>
      <w:r w:rsidRPr="00515419">
        <w:rPr>
          <w:rFonts w:ascii="Times New Roman" w:hAnsi="Times New Roman"/>
          <w:sz w:val="22"/>
        </w:rPr>
        <w:t xml:space="preserve">ontracting </w:t>
      </w:r>
      <w:r>
        <w:rPr>
          <w:rFonts w:ascii="Times New Roman" w:hAnsi="Times New Roman"/>
          <w:sz w:val="22"/>
        </w:rPr>
        <w:t>A</w:t>
      </w:r>
      <w:r w:rsidRPr="00515419">
        <w:rPr>
          <w:rFonts w:ascii="Times New Roman" w:hAnsi="Times New Roman"/>
          <w:sz w:val="22"/>
        </w:rPr>
        <w:t xml:space="preserve">uthority decides NOT to purchase ANY of these quantities. </w:t>
      </w:r>
    </w:p>
    <w:p w14:paraId="4D651CAD" w14:textId="77777777" w:rsidR="00E95ED8" w:rsidRDefault="00E95ED8" w:rsidP="00E95ED8">
      <w:pPr>
        <w:spacing w:before="240" w:after="240"/>
        <w:ind w:left="709" w:hanging="709"/>
        <w:jc w:val="both"/>
        <w:rPr>
          <w:rFonts w:ascii="Times New Roman" w:hAnsi="Times New Roman"/>
          <w:sz w:val="22"/>
        </w:rPr>
      </w:pPr>
      <w:r w:rsidRPr="00515419">
        <w:rPr>
          <w:rFonts w:ascii="Times New Roman" w:hAnsi="Times New Roman"/>
          <w:sz w:val="22"/>
        </w:rPr>
        <w:tab/>
      </w:r>
      <w:r>
        <w:rPr>
          <w:rFonts w:ascii="Times New Roman" w:hAnsi="Times New Roman"/>
          <w:sz w:val="22"/>
        </w:rPr>
        <w:t xml:space="preserve">The framework contract shall be concluded for a period of one (1) year with effect on the date on which it commences. The contract shall be renewed automatically for a period of 12 (twelve) additional months under the same conditions, unless written notification to the contrary is sent </w:t>
      </w:r>
      <w:r>
        <w:rPr>
          <w:rFonts w:ascii="Times New Roman" w:hAnsi="Times New Roman"/>
          <w:sz w:val="22"/>
        </w:rPr>
        <w:lastRenderedPageBreak/>
        <w:t>by one of the parties and received by the other 5 (five) months before expiry of the first year of the contract. Renewal does not imply any modification or deferment of existing obligations (although the Framework contract may be terminated at short notice.</w:t>
      </w:r>
    </w:p>
    <w:p w14:paraId="3B09F96E" w14:textId="77777777" w:rsidR="00E95ED8" w:rsidRPr="00AF5DC6" w:rsidRDefault="00E95ED8" w:rsidP="00E95ED8">
      <w:pPr>
        <w:spacing w:before="0" w:after="0"/>
        <w:ind w:left="709" w:hanging="709"/>
        <w:jc w:val="both"/>
        <w:rPr>
          <w:rFonts w:ascii="Times New Roman" w:hAnsi="Times New Roman"/>
          <w:sz w:val="22"/>
          <w:szCs w:val="22"/>
        </w:rPr>
      </w:pPr>
      <w:r>
        <w:rPr>
          <w:rFonts w:ascii="Times New Roman" w:hAnsi="Times New Roman"/>
          <w:sz w:val="22"/>
        </w:rPr>
        <w:t xml:space="preserve">             </w:t>
      </w:r>
      <w:r w:rsidRPr="00F10FDD">
        <w:rPr>
          <w:rFonts w:ascii="Times New Roman" w:hAnsi="Times New Roman"/>
          <w:sz w:val="22"/>
          <w:szCs w:val="22"/>
        </w:rPr>
        <w:t xml:space="preserve">In </w:t>
      </w:r>
      <w:r w:rsidRPr="00AF5DC6">
        <w:rPr>
          <w:rFonts w:ascii="Times New Roman" w:hAnsi="Times New Roman"/>
          <w:sz w:val="22"/>
          <w:szCs w:val="22"/>
        </w:rPr>
        <w:t>addition to the grounds for termination defined in the General Conditions, the Contracting Authority may termina</w:t>
      </w:r>
      <w:r>
        <w:rPr>
          <w:rFonts w:ascii="Times New Roman" w:hAnsi="Times New Roman"/>
          <w:sz w:val="22"/>
          <w:szCs w:val="22"/>
        </w:rPr>
        <w:t xml:space="preserve">te the contract after giving </w:t>
      </w:r>
      <w:r w:rsidRPr="00FB777C">
        <w:rPr>
          <w:rFonts w:ascii="Times New Roman" w:hAnsi="Times New Roman"/>
          <w:b/>
          <w:sz w:val="22"/>
          <w:szCs w:val="22"/>
        </w:rPr>
        <w:t>30</w:t>
      </w:r>
      <w:r>
        <w:rPr>
          <w:rFonts w:ascii="Times New Roman" w:hAnsi="Times New Roman"/>
          <w:b/>
          <w:sz w:val="22"/>
          <w:szCs w:val="22"/>
        </w:rPr>
        <w:t xml:space="preserve"> </w:t>
      </w:r>
      <w:r w:rsidRPr="00FB777C">
        <w:rPr>
          <w:rFonts w:ascii="Times New Roman" w:hAnsi="Times New Roman"/>
          <w:b/>
          <w:sz w:val="22"/>
          <w:szCs w:val="22"/>
        </w:rPr>
        <w:t>days' notice to</w:t>
      </w:r>
      <w:r w:rsidRPr="00AF5DC6">
        <w:rPr>
          <w:rFonts w:ascii="Times New Roman" w:hAnsi="Times New Roman"/>
          <w:sz w:val="22"/>
          <w:szCs w:val="22"/>
        </w:rPr>
        <w:t xml:space="preserve"> the Contractor, in case EULEX’s mandate was not to be prolonged and/or in case of budgetary issues affecting the financing of the project.</w:t>
      </w:r>
    </w:p>
    <w:p w14:paraId="08B2CFF9" w14:textId="77777777" w:rsidR="00E95ED8" w:rsidRDefault="00E95ED8" w:rsidP="00E95ED8">
      <w:pPr>
        <w:spacing w:before="0" w:after="0"/>
        <w:ind w:left="709" w:hanging="709"/>
        <w:jc w:val="both"/>
        <w:rPr>
          <w:rFonts w:ascii="Times New Roman" w:hAnsi="Times New Roman"/>
          <w:sz w:val="22"/>
          <w:szCs w:val="22"/>
        </w:rPr>
      </w:pPr>
    </w:p>
    <w:p w14:paraId="4EE14338" w14:textId="77777777" w:rsidR="00E95ED8" w:rsidRPr="00AF5DC6" w:rsidRDefault="00E95ED8" w:rsidP="00E95ED8">
      <w:pPr>
        <w:spacing w:before="0" w:after="0"/>
        <w:ind w:left="709" w:hanging="709"/>
        <w:jc w:val="both"/>
        <w:rPr>
          <w:rFonts w:ascii="Times New Roman" w:hAnsi="Times New Roman"/>
          <w:sz w:val="22"/>
          <w:szCs w:val="22"/>
        </w:rPr>
      </w:pPr>
      <w:r w:rsidRPr="00AF5DC6">
        <w:rPr>
          <w:rFonts w:ascii="Times New Roman" w:hAnsi="Times New Roman"/>
          <w:sz w:val="22"/>
          <w:szCs w:val="22"/>
        </w:rPr>
        <w:tab/>
        <w:t>In case of termination of the framework contract on such grounds, the Contractor shall NOT be entitled to claim any indemnity for loss suffered.</w:t>
      </w:r>
    </w:p>
    <w:p w14:paraId="32DCAB4A" w14:textId="77777777" w:rsidR="00E95ED8" w:rsidRPr="00AF5DC6" w:rsidRDefault="00E95ED8" w:rsidP="00E95ED8">
      <w:pPr>
        <w:spacing w:before="0" w:after="0"/>
        <w:ind w:left="709" w:hanging="709"/>
        <w:jc w:val="both"/>
        <w:rPr>
          <w:rFonts w:ascii="Times New Roman" w:hAnsi="Times New Roman"/>
          <w:sz w:val="22"/>
          <w:szCs w:val="22"/>
        </w:rPr>
      </w:pPr>
    </w:p>
    <w:p w14:paraId="56A3F798" w14:textId="04B3B4F1" w:rsidR="00E95ED8" w:rsidRDefault="00E95ED8" w:rsidP="00E95ED8">
      <w:pPr>
        <w:spacing w:before="0" w:after="0"/>
        <w:ind w:left="709" w:hanging="709"/>
        <w:jc w:val="both"/>
        <w:rPr>
          <w:rFonts w:ascii="Times New Roman" w:hAnsi="Times New Roman"/>
          <w:sz w:val="22"/>
          <w:szCs w:val="22"/>
        </w:rPr>
      </w:pPr>
      <w:r w:rsidRPr="00AF5DC6">
        <w:rPr>
          <w:rFonts w:ascii="Times New Roman" w:hAnsi="Times New Roman"/>
          <w:sz w:val="22"/>
          <w:szCs w:val="22"/>
        </w:rPr>
        <w:tab/>
        <w:t>The Contractor shall only be entitled to claim for sums owing to it for supplies already delivered and/or for supplies pending delivery following the receipt by the Contractor (before the date of notification of the termination of the framework contract) of a valid</w:t>
      </w:r>
      <w:r w:rsidR="007B7A35">
        <w:rPr>
          <w:rFonts w:ascii="Times New Roman" w:hAnsi="Times New Roman"/>
          <w:sz w:val="22"/>
          <w:szCs w:val="22"/>
        </w:rPr>
        <w:t xml:space="preserve"> </w:t>
      </w:r>
      <w:r w:rsidRPr="00AF5DC6">
        <w:rPr>
          <w:rFonts w:ascii="Times New Roman" w:hAnsi="Times New Roman"/>
          <w:sz w:val="22"/>
          <w:szCs w:val="22"/>
        </w:rPr>
        <w:t>order</w:t>
      </w:r>
      <w:r w:rsidR="007B7A35">
        <w:rPr>
          <w:rFonts w:ascii="Times New Roman" w:hAnsi="Times New Roman"/>
          <w:sz w:val="22"/>
          <w:szCs w:val="22"/>
        </w:rPr>
        <w:t xml:space="preserve"> form</w:t>
      </w:r>
      <w:r w:rsidRPr="00AF5DC6">
        <w:rPr>
          <w:rFonts w:ascii="Times New Roman" w:hAnsi="Times New Roman"/>
          <w:sz w:val="22"/>
          <w:szCs w:val="22"/>
        </w:rPr>
        <w:t xml:space="preserve"> issued by the Contracting Authority.</w:t>
      </w:r>
      <w:r>
        <w:rPr>
          <w:rFonts w:ascii="Times New Roman" w:hAnsi="Times New Roman"/>
          <w:sz w:val="22"/>
          <w:szCs w:val="22"/>
        </w:rPr>
        <w:t xml:space="preserve"> </w:t>
      </w:r>
    </w:p>
    <w:p w14:paraId="6B5E6785" w14:textId="77777777" w:rsidR="00E95ED8" w:rsidRPr="002541C6" w:rsidRDefault="00E95ED8" w:rsidP="00E95ED8">
      <w:pPr>
        <w:spacing w:before="0" w:after="0"/>
        <w:ind w:left="709" w:hanging="709"/>
        <w:jc w:val="both"/>
        <w:rPr>
          <w:rFonts w:ascii="Times New Roman" w:hAnsi="Times New Roman"/>
          <w:sz w:val="22"/>
          <w:szCs w:val="22"/>
        </w:rPr>
      </w:pPr>
      <w:r>
        <w:rPr>
          <w:rFonts w:ascii="Times New Roman" w:hAnsi="Times New Roman"/>
          <w:sz w:val="22"/>
          <w:szCs w:val="22"/>
        </w:rPr>
        <w:t xml:space="preserve">               </w:t>
      </w:r>
    </w:p>
    <w:p w14:paraId="1FB64956" w14:textId="77777777" w:rsidR="00E95ED8" w:rsidRPr="00C07C8E" w:rsidRDefault="00E95ED8" w:rsidP="00E95ED8">
      <w:pPr>
        <w:spacing w:before="0" w:after="0"/>
        <w:jc w:val="both"/>
        <w:rPr>
          <w:rFonts w:ascii="Times New Roman" w:hAnsi="Times New Roman"/>
          <w:sz w:val="22"/>
          <w:szCs w:val="22"/>
        </w:rPr>
      </w:pPr>
    </w:p>
    <w:p w14:paraId="46072CA1" w14:textId="2F283100" w:rsidR="00C05EBE" w:rsidRPr="00C05EBE" w:rsidRDefault="00C05EBE" w:rsidP="00E95ED8">
      <w:pPr>
        <w:spacing w:before="0"/>
        <w:jc w:val="both"/>
        <w:rPr>
          <w:rFonts w:ascii="Times New Roman" w:hAnsi="Times New Roman"/>
          <w:b/>
          <w:sz w:val="24"/>
          <w:szCs w:val="24"/>
        </w:rPr>
      </w:pPr>
      <w:r w:rsidRPr="00C05EBE">
        <w:rPr>
          <w:rFonts w:ascii="Times New Roman" w:hAnsi="Times New Roman"/>
          <w:b/>
          <w:sz w:val="24"/>
          <w:szCs w:val="24"/>
        </w:rPr>
        <w:t>Order of precedence of contract documents</w:t>
      </w:r>
    </w:p>
    <w:bookmarkEnd w:id="3"/>
    <w:p w14:paraId="7E8DCE3F" w14:textId="77777777" w:rsidR="00556F39" w:rsidRPr="00556F39" w:rsidRDefault="00556F39" w:rsidP="00B5440B">
      <w:pPr>
        <w:spacing w:before="0"/>
        <w:rPr>
          <w:rFonts w:ascii="Times New Roman" w:hAnsi="Times New Roman"/>
          <w:sz w:val="22"/>
          <w:szCs w:val="22"/>
        </w:rPr>
      </w:pPr>
      <w:r w:rsidRPr="00556F39">
        <w:rPr>
          <w:rFonts w:ascii="Times New Roman" w:hAnsi="Times New Roman"/>
          <w:sz w:val="22"/>
          <w:szCs w:val="22"/>
        </w:rPr>
        <w:t>The following documents shall be deemed to form and be read and construed as part of this contract, in the following order of precedence:</w:t>
      </w:r>
    </w:p>
    <w:p w14:paraId="0F320CA8" w14:textId="08CC7185"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Pr>
          <w:rFonts w:ascii="Times New Roman" w:hAnsi="Times New Roman"/>
          <w:sz w:val="22"/>
        </w:rPr>
        <w:t>the main conditions</w:t>
      </w:r>
      <w:r w:rsidRPr="00C05EBE">
        <w:rPr>
          <w:rFonts w:ascii="Times New Roman" w:hAnsi="Times New Roman"/>
          <w:sz w:val="22"/>
        </w:rPr>
        <w:t>;</w:t>
      </w:r>
    </w:p>
    <w:p w14:paraId="0E1C4A4C" w14:textId="282403D2"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t>the special conditions</w:t>
      </w:r>
      <w:r>
        <w:rPr>
          <w:rFonts w:ascii="Times New Roman" w:hAnsi="Times New Roman"/>
          <w:sz w:val="22"/>
        </w:rPr>
        <w:t>;</w:t>
      </w:r>
    </w:p>
    <w:p w14:paraId="6E5B011A" w14:textId="77777777"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t>the general conditions (Annex I);</w:t>
      </w:r>
    </w:p>
    <w:p w14:paraId="344624D4" w14:textId="2C0D236F" w:rsidR="00C05EBE" w:rsidRPr="00E95ED8"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t xml:space="preserve">the technical specifications (Annex II [including clarifications before the deadline for submission of tenders </w:t>
      </w:r>
      <w:r w:rsidRPr="00E95ED8">
        <w:rPr>
          <w:rFonts w:ascii="Times New Roman" w:hAnsi="Times New Roman"/>
          <w:sz w:val="22"/>
        </w:rPr>
        <w:t>and minutes from the information meeting/site visit];</w:t>
      </w:r>
    </w:p>
    <w:p w14:paraId="01FF9F87" w14:textId="77777777" w:rsidR="00C05EBE" w:rsidRPr="00E95ED8" w:rsidRDefault="00C05EBE" w:rsidP="00B5440B">
      <w:pPr>
        <w:numPr>
          <w:ilvl w:val="0"/>
          <w:numId w:val="1"/>
        </w:numPr>
        <w:tabs>
          <w:tab w:val="clear" w:pos="360"/>
        </w:tabs>
        <w:spacing w:before="0" w:after="80"/>
        <w:ind w:left="709" w:hanging="425"/>
        <w:jc w:val="both"/>
        <w:rPr>
          <w:rFonts w:ascii="Times New Roman" w:hAnsi="Times New Roman"/>
          <w:sz w:val="22"/>
        </w:rPr>
      </w:pPr>
      <w:r w:rsidRPr="00E95ED8">
        <w:rPr>
          <w:rFonts w:ascii="Times New Roman" w:hAnsi="Times New Roman"/>
          <w:sz w:val="22"/>
        </w:rPr>
        <w:t>the technical offer (Annex III [including clarifications from the tenderer provided during tender evaluation]);</w:t>
      </w:r>
    </w:p>
    <w:p w14:paraId="4697AE99" w14:textId="77777777" w:rsidR="00C05EBE" w:rsidRPr="00E95ED8" w:rsidRDefault="00C05EBE" w:rsidP="00B5440B">
      <w:pPr>
        <w:numPr>
          <w:ilvl w:val="0"/>
          <w:numId w:val="1"/>
        </w:numPr>
        <w:tabs>
          <w:tab w:val="clear" w:pos="360"/>
        </w:tabs>
        <w:spacing w:before="0" w:after="80"/>
        <w:ind w:left="709" w:hanging="425"/>
        <w:jc w:val="both"/>
        <w:rPr>
          <w:rFonts w:ascii="Times New Roman" w:hAnsi="Times New Roman"/>
          <w:sz w:val="22"/>
        </w:rPr>
      </w:pPr>
      <w:r w:rsidRPr="00E95ED8">
        <w:rPr>
          <w:rFonts w:ascii="Times New Roman" w:hAnsi="Times New Roman"/>
          <w:sz w:val="22"/>
        </w:rPr>
        <w:t>the budget breakdown (Annex IV);</w:t>
      </w:r>
    </w:p>
    <w:p w14:paraId="4411F209" w14:textId="77777777" w:rsidR="00C05EBE" w:rsidRPr="00E95ED8" w:rsidRDefault="00C05EBE" w:rsidP="00B5440B">
      <w:pPr>
        <w:numPr>
          <w:ilvl w:val="0"/>
          <w:numId w:val="1"/>
        </w:numPr>
        <w:tabs>
          <w:tab w:val="clear" w:pos="360"/>
        </w:tabs>
        <w:spacing w:before="0" w:after="240"/>
        <w:ind w:left="709" w:hanging="425"/>
        <w:jc w:val="both"/>
        <w:rPr>
          <w:rFonts w:ascii="Times New Roman" w:hAnsi="Times New Roman"/>
          <w:sz w:val="22"/>
        </w:rPr>
      </w:pPr>
      <w:r w:rsidRPr="00E95ED8">
        <w:rPr>
          <w:rFonts w:ascii="Times New Roman" w:hAnsi="Times New Roman"/>
          <w:sz w:val="22"/>
        </w:rPr>
        <w:t>[specified forms and other relevant documents (Annex V)];</w:t>
      </w:r>
    </w:p>
    <w:p w14:paraId="06DC3A15" w14:textId="77777777" w:rsidR="00556F39" w:rsidRPr="00556F39" w:rsidRDefault="00C05EBE" w:rsidP="00B5440B">
      <w:pPr>
        <w:spacing w:before="0" w:after="240"/>
        <w:jc w:val="both"/>
        <w:rPr>
          <w:rFonts w:ascii="Times New Roman" w:hAnsi="Times New Roman"/>
          <w:b/>
          <w:bCs/>
          <w:sz w:val="22"/>
          <w:szCs w:val="22"/>
        </w:rPr>
      </w:pPr>
      <w:r w:rsidRPr="00556F39">
        <w:rPr>
          <w:rFonts w:ascii="Times New Roman" w:hAnsi="Times New Roman"/>
          <w:b/>
          <w:bCs/>
          <w:sz w:val="22"/>
        </w:rPr>
        <w:t xml:space="preserve">The various documents making up the contract shall be deemed to be mutually explanatory; in cases of ambiguity or divergence, they shall prevail in the order in which they appear above. </w:t>
      </w:r>
      <w:r w:rsidR="00556F39" w:rsidRPr="00556F39">
        <w:rPr>
          <w:rFonts w:ascii="Times New Roman" w:hAnsi="Times New Roman"/>
          <w:b/>
          <w:bCs/>
          <w:sz w:val="22"/>
          <w:szCs w:val="22"/>
        </w:rPr>
        <w:t>Addenda shall have the order of precedence of the document they are amending.</w:t>
      </w:r>
      <w:r w:rsidR="00556F39" w:rsidRPr="00556F39" w:rsidDel="00A73B34">
        <w:rPr>
          <w:rFonts w:ascii="Times New Roman" w:hAnsi="Times New Roman"/>
          <w:b/>
          <w:bCs/>
          <w:sz w:val="22"/>
          <w:szCs w:val="22"/>
        </w:rPr>
        <w:t xml:space="preserve"> </w:t>
      </w:r>
    </w:p>
    <w:p w14:paraId="66E2A106" w14:textId="0BC202BA" w:rsidR="0047783A" w:rsidRPr="003D6B6C" w:rsidRDefault="0047783A" w:rsidP="00B5440B">
      <w:pPr>
        <w:spacing w:before="0"/>
        <w:ind w:left="1134" w:hanging="1134"/>
        <w:jc w:val="both"/>
        <w:rPr>
          <w:rFonts w:ascii="Times New Roman" w:hAnsi="Times New Roman"/>
          <w:b/>
          <w:sz w:val="24"/>
          <w:szCs w:val="24"/>
        </w:rPr>
      </w:pPr>
      <w:r w:rsidRPr="003D6B6C">
        <w:rPr>
          <w:rFonts w:ascii="Times New Roman" w:hAnsi="Times New Roman"/>
          <w:b/>
          <w:sz w:val="24"/>
          <w:szCs w:val="24"/>
        </w:rPr>
        <w:t>Article 2</w:t>
      </w:r>
      <w:r w:rsidRPr="003D6B6C">
        <w:rPr>
          <w:rFonts w:ascii="Times New Roman" w:hAnsi="Times New Roman"/>
          <w:b/>
          <w:sz w:val="24"/>
          <w:szCs w:val="24"/>
        </w:rPr>
        <w:tab/>
        <w:t>L</w:t>
      </w:r>
      <w:bookmarkEnd w:id="2"/>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14:paraId="1F484843" w14:textId="77C1C62E"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14:paraId="3308F28E" w14:textId="77777777" w:rsidR="0047783A" w:rsidRPr="003D6B6C" w:rsidRDefault="0047783A" w:rsidP="00B34179">
      <w:pPr>
        <w:spacing w:before="240"/>
        <w:ind w:left="1134" w:hanging="1134"/>
        <w:jc w:val="both"/>
        <w:rPr>
          <w:rFonts w:ascii="Times New Roman" w:hAnsi="Times New Roman"/>
          <w:b/>
          <w:sz w:val="24"/>
          <w:szCs w:val="24"/>
        </w:rPr>
      </w:pPr>
      <w:bookmarkStart w:id="4"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4"/>
    </w:p>
    <w:p w14:paraId="3481FE5E" w14:textId="7BD3E1E0" w:rsidR="003F3783" w:rsidRPr="003F3783" w:rsidRDefault="000724EA" w:rsidP="00B5440B">
      <w:pPr>
        <w:ind w:left="1134" w:hanging="567"/>
        <w:rPr>
          <w:rFonts w:ascii="Times New Roman" w:hAnsi="Times New Roman"/>
          <w:sz w:val="22"/>
          <w:szCs w:val="22"/>
        </w:rPr>
      </w:pPr>
      <w:r w:rsidRPr="003D6B6C">
        <w:rPr>
          <w:rFonts w:ascii="Times New Roman" w:hAnsi="Times New Roman"/>
          <w:sz w:val="22"/>
          <w:szCs w:val="22"/>
        </w:rPr>
        <w:t>4.1</w:t>
      </w:r>
      <w:r w:rsidRPr="003D6B6C">
        <w:rPr>
          <w:rFonts w:ascii="Times New Roman" w:hAnsi="Times New Roman"/>
          <w:sz w:val="22"/>
          <w:szCs w:val="22"/>
        </w:rPr>
        <w:tab/>
      </w:r>
      <w:bookmarkStart w:id="5" w:name="_Hlk133420374"/>
      <w:r w:rsidR="003F3783" w:rsidRPr="003F3783">
        <w:rPr>
          <w:rFonts w:ascii="Times New Roman" w:hAnsi="Times New Roman"/>
          <w:sz w:val="22"/>
          <w:szCs w:val="22"/>
        </w:rPr>
        <w:t>Communication details</w:t>
      </w:r>
    </w:p>
    <w:p w14:paraId="47EF5753" w14:textId="77777777" w:rsidR="00E95ED8" w:rsidRPr="00E95ED8" w:rsidRDefault="003F3783" w:rsidP="00E95ED8">
      <w:pPr>
        <w:spacing w:before="240"/>
        <w:ind w:left="1134" w:hanging="1134"/>
        <w:rPr>
          <w:rFonts w:ascii="Times New Roman" w:hAnsi="Times New Roman"/>
          <w:snapToGrid/>
          <w:sz w:val="22"/>
          <w:szCs w:val="22"/>
          <w:lang w:eastAsia="en-GB"/>
        </w:rPr>
      </w:pPr>
      <w:bookmarkStart w:id="6" w:name="_Hlk133420420"/>
      <w:bookmarkEnd w:id="5"/>
      <w:r>
        <w:rPr>
          <w:rFonts w:ascii="Times New Roman" w:hAnsi="Times New Roman"/>
          <w:sz w:val="22"/>
          <w:szCs w:val="22"/>
        </w:rPr>
        <w:t>4.</w:t>
      </w:r>
      <w:r w:rsidR="00D7711A">
        <w:rPr>
          <w:rFonts w:ascii="Times New Roman" w:hAnsi="Times New Roman"/>
          <w:sz w:val="22"/>
          <w:szCs w:val="22"/>
        </w:rPr>
        <w:t>4</w:t>
      </w:r>
      <w:r w:rsidRPr="003F3783">
        <w:rPr>
          <w:rFonts w:ascii="Times New Roman" w:hAnsi="Times New Roman"/>
          <w:sz w:val="22"/>
          <w:szCs w:val="22"/>
        </w:rPr>
        <w:tab/>
      </w:r>
      <w:r w:rsidR="00E95ED8" w:rsidRPr="00E95ED8">
        <w:rPr>
          <w:rFonts w:ascii="Times New Roman" w:hAnsi="Times New Roman"/>
          <w:snapToGrid/>
          <w:sz w:val="22"/>
          <w:szCs w:val="22"/>
          <w:lang w:eastAsia="en-GB"/>
        </w:rPr>
        <w:t xml:space="preserve">Any written communication relating to this Contract between the Contracting Authority and/or the Project Manager, on the one hand, and the Contractor on the other shall state the </w:t>
      </w:r>
      <w:proofErr w:type="spellStart"/>
      <w:r w:rsidR="00E95ED8" w:rsidRPr="00E95ED8">
        <w:rPr>
          <w:rFonts w:ascii="Times New Roman" w:hAnsi="Times New Roman"/>
          <w:snapToGrid/>
          <w:sz w:val="22"/>
          <w:szCs w:val="22"/>
          <w:lang w:eastAsia="en-GB"/>
        </w:rPr>
        <w:t>Contracttitle</w:t>
      </w:r>
      <w:proofErr w:type="spellEnd"/>
      <w:r w:rsidR="00E95ED8" w:rsidRPr="00E95ED8">
        <w:rPr>
          <w:rFonts w:ascii="Times New Roman" w:hAnsi="Times New Roman"/>
          <w:snapToGrid/>
          <w:sz w:val="22"/>
          <w:szCs w:val="22"/>
          <w:lang w:eastAsia="en-GB"/>
        </w:rPr>
        <w:t xml:space="preserve"> and identification number, and shall be sent by post, fax, e-mail or by hand.</w:t>
      </w:r>
    </w:p>
    <w:p w14:paraId="43F5EA50"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p>
    <w:p w14:paraId="20FE3C8B" w14:textId="77777777" w:rsidR="00E95ED8" w:rsidRPr="00E95ED8" w:rsidRDefault="00E95ED8" w:rsidP="00E95ED8">
      <w:pPr>
        <w:keepNext/>
        <w:keepLines/>
        <w:spacing w:before="0"/>
        <w:ind w:left="567" w:hanging="567"/>
        <w:jc w:val="both"/>
        <w:rPr>
          <w:rFonts w:ascii="Times New Roman" w:hAnsi="Times New Roman"/>
          <w:snapToGrid/>
          <w:sz w:val="22"/>
          <w:szCs w:val="22"/>
          <w:u w:val="single"/>
          <w:lang w:eastAsia="en-GB"/>
        </w:rPr>
      </w:pPr>
      <w:r w:rsidRPr="00E95ED8">
        <w:rPr>
          <w:rFonts w:ascii="Times New Roman" w:hAnsi="Times New Roman"/>
          <w:snapToGrid/>
          <w:sz w:val="22"/>
          <w:szCs w:val="22"/>
          <w:u w:val="single"/>
          <w:lang w:eastAsia="en-GB"/>
        </w:rPr>
        <w:t>For the Contracting Authority:</w:t>
      </w:r>
    </w:p>
    <w:p w14:paraId="546562F5"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p>
    <w:tbl>
      <w:tblPr>
        <w:tblW w:w="73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00"/>
      </w:tblGrid>
      <w:tr w:rsidR="00E95ED8" w:rsidRPr="00E95ED8" w14:paraId="4D1F4DC8" w14:textId="77777777" w:rsidTr="00291AFC">
        <w:tc>
          <w:tcPr>
            <w:tcW w:w="1953" w:type="dxa"/>
            <w:shd w:val="pct10" w:color="auto" w:fill="FFFFFF"/>
            <w:vAlign w:val="center"/>
          </w:tcPr>
          <w:p w14:paraId="50922F43"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Name:</w:t>
            </w:r>
          </w:p>
        </w:tc>
        <w:tc>
          <w:tcPr>
            <w:tcW w:w="5400" w:type="dxa"/>
            <w:vAlign w:val="center"/>
          </w:tcPr>
          <w:p w14:paraId="132C0A83"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EULEX Kosovo</w:t>
            </w:r>
          </w:p>
          <w:p w14:paraId="1B9C1005"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Attn: Project Manager</w:t>
            </w:r>
          </w:p>
        </w:tc>
      </w:tr>
      <w:tr w:rsidR="00E95ED8" w:rsidRPr="00E95ED8" w14:paraId="61C33396" w14:textId="77777777" w:rsidTr="00291AFC">
        <w:tc>
          <w:tcPr>
            <w:tcW w:w="1953" w:type="dxa"/>
            <w:shd w:val="pct10" w:color="auto" w:fill="FFFFFF"/>
            <w:vAlign w:val="center"/>
          </w:tcPr>
          <w:p w14:paraId="44F7D3D0"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Address:</w:t>
            </w:r>
          </w:p>
        </w:tc>
        <w:tc>
          <w:tcPr>
            <w:tcW w:w="5400" w:type="dxa"/>
            <w:vAlign w:val="center"/>
          </w:tcPr>
          <w:p w14:paraId="7285AA73" w14:textId="77777777" w:rsidR="00E95ED8" w:rsidRPr="00430776" w:rsidRDefault="00E95ED8" w:rsidP="00E95ED8">
            <w:pPr>
              <w:keepNext/>
              <w:keepLines/>
              <w:spacing w:before="0"/>
              <w:ind w:left="567" w:hanging="567"/>
              <w:jc w:val="both"/>
              <w:rPr>
                <w:rFonts w:ascii="Times New Roman" w:hAnsi="Times New Roman"/>
                <w:snapToGrid/>
                <w:sz w:val="22"/>
                <w:szCs w:val="22"/>
                <w:lang w:val="pt-BR" w:eastAsia="en-GB"/>
              </w:rPr>
            </w:pPr>
            <w:r w:rsidRPr="00430776">
              <w:rPr>
                <w:rFonts w:ascii="Times New Roman" w:hAnsi="Times New Roman"/>
                <w:snapToGrid/>
                <w:sz w:val="22"/>
                <w:szCs w:val="22"/>
                <w:lang w:val="pt-BR" w:eastAsia="en-GB"/>
              </w:rPr>
              <w:t>Lidhja e Pejës, Industrial Zone P.O. Box 268</w:t>
            </w:r>
          </w:p>
          <w:p w14:paraId="0CE90075"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10000 Pristina, Kosovo</w:t>
            </w:r>
          </w:p>
        </w:tc>
      </w:tr>
      <w:tr w:rsidR="00E95ED8" w:rsidRPr="00E95ED8" w14:paraId="085768CC" w14:textId="77777777" w:rsidTr="00291AFC">
        <w:tc>
          <w:tcPr>
            <w:tcW w:w="1953" w:type="dxa"/>
            <w:shd w:val="pct10" w:color="auto" w:fill="FFFFFF"/>
            <w:vAlign w:val="center"/>
          </w:tcPr>
          <w:p w14:paraId="189EEC58"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E-mail:</w:t>
            </w:r>
          </w:p>
        </w:tc>
        <w:tc>
          <w:tcPr>
            <w:tcW w:w="5400" w:type="dxa"/>
            <w:vAlign w:val="center"/>
          </w:tcPr>
          <w:p w14:paraId="23DDA032"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XXXXXXXX</w:t>
            </w:r>
          </w:p>
        </w:tc>
      </w:tr>
      <w:tr w:rsidR="00E95ED8" w:rsidRPr="00E95ED8" w14:paraId="2CF2C276" w14:textId="77777777" w:rsidTr="00291AFC">
        <w:tc>
          <w:tcPr>
            <w:tcW w:w="1953" w:type="dxa"/>
            <w:shd w:val="pct10" w:color="auto" w:fill="FFFFFF"/>
            <w:vAlign w:val="center"/>
          </w:tcPr>
          <w:p w14:paraId="1C5C0A4A"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Landline:</w:t>
            </w:r>
          </w:p>
        </w:tc>
        <w:tc>
          <w:tcPr>
            <w:tcW w:w="5400" w:type="dxa"/>
            <w:vAlign w:val="center"/>
          </w:tcPr>
          <w:p w14:paraId="12038ADC"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XXXXXXX</w:t>
            </w:r>
          </w:p>
        </w:tc>
      </w:tr>
      <w:tr w:rsidR="00E95ED8" w:rsidRPr="00E95ED8" w14:paraId="18EF3111" w14:textId="77777777" w:rsidTr="00291AFC">
        <w:tc>
          <w:tcPr>
            <w:tcW w:w="1953" w:type="dxa"/>
            <w:shd w:val="pct10" w:color="auto" w:fill="FFFFFF"/>
            <w:vAlign w:val="center"/>
          </w:tcPr>
          <w:p w14:paraId="781AE69B"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Mobile:</w:t>
            </w:r>
          </w:p>
        </w:tc>
        <w:tc>
          <w:tcPr>
            <w:tcW w:w="5400" w:type="dxa"/>
            <w:vAlign w:val="center"/>
          </w:tcPr>
          <w:p w14:paraId="3B0DBBEC"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XXXXXX</w:t>
            </w:r>
          </w:p>
        </w:tc>
      </w:tr>
    </w:tbl>
    <w:p w14:paraId="2B3A14F8"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p>
    <w:p w14:paraId="6E4345FB" w14:textId="77777777" w:rsidR="00E95ED8" w:rsidRPr="00E95ED8" w:rsidRDefault="00E95ED8" w:rsidP="00E95ED8">
      <w:pPr>
        <w:keepNext/>
        <w:keepLines/>
        <w:spacing w:before="0"/>
        <w:ind w:left="567" w:hanging="567"/>
        <w:jc w:val="both"/>
        <w:rPr>
          <w:rFonts w:ascii="Times New Roman" w:hAnsi="Times New Roman"/>
          <w:snapToGrid/>
          <w:sz w:val="22"/>
          <w:szCs w:val="22"/>
          <w:u w:val="single"/>
          <w:lang w:eastAsia="en-GB"/>
        </w:rPr>
      </w:pPr>
      <w:r w:rsidRPr="00E95ED8">
        <w:rPr>
          <w:rFonts w:ascii="Times New Roman" w:hAnsi="Times New Roman"/>
          <w:snapToGrid/>
          <w:sz w:val="22"/>
          <w:szCs w:val="22"/>
          <w:u w:val="single"/>
          <w:lang w:eastAsia="en-GB"/>
        </w:rPr>
        <w:t>For the Contractor:</w:t>
      </w:r>
    </w:p>
    <w:tbl>
      <w:tblPr>
        <w:tblW w:w="73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18"/>
      </w:tblGrid>
      <w:tr w:rsidR="00E95ED8" w:rsidRPr="00E95ED8" w14:paraId="683D5239" w14:textId="77777777" w:rsidTr="00291AFC">
        <w:tc>
          <w:tcPr>
            <w:tcW w:w="1953" w:type="dxa"/>
            <w:shd w:val="pct10" w:color="auto" w:fill="FFFFFF"/>
            <w:vAlign w:val="center"/>
          </w:tcPr>
          <w:p w14:paraId="25E0B0DC"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Name:</w:t>
            </w:r>
          </w:p>
        </w:tc>
        <w:tc>
          <w:tcPr>
            <w:tcW w:w="5418" w:type="dxa"/>
            <w:vAlign w:val="center"/>
          </w:tcPr>
          <w:p w14:paraId="37EDB95F"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XXXX</w:t>
            </w:r>
          </w:p>
          <w:p w14:paraId="35ED35FF"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Attn: XXXXX</w:t>
            </w:r>
          </w:p>
        </w:tc>
      </w:tr>
      <w:tr w:rsidR="00E95ED8" w:rsidRPr="00E95ED8" w14:paraId="47904503" w14:textId="77777777" w:rsidTr="00291AFC">
        <w:tc>
          <w:tcPr>
            <w:tcW w:w="1953" w:type="dxa"/>
            <w:shd w:val="pct10" w:color="auto" w:fill="FFFFFF"/>
            <w:vAlign w:val="center"/>
          </w:tcPr>
          <w:p w14:paraId="138845B4"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Address:</w:t>
            </w:r>
          </w:p>
        </w:tc>
        <w:tc>
          <w:tcPr>
            <w:tcW w:w="5418" w:type="dxa"/>
            <w:vAlign w:val="center"/>
          </w:tcPr>
          <w:p w14:paraId="6DE6BA91"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XXXXX</w:t>
            </w:r>
          </w:p>
        </w:tc>
      </w:tr>
      <w:tr w:rsidR="00E95ED8" w:rsidRPr="00E95ED8" w14:paraId="63C1727C" w14:textId="77777777" w:rsidTr="00291AFC">
        <w:tc>
          <w:tcPr>
            <w:tcW w:w="1953" w:type="dxa"/>
            <w:shd w:val="pct10" w:color="auto" w:fill="FFFFFF"/>
            <w:vAlign w:val="center"/>
          </w:tcPr>
          <w:p w14:paraId="04B45325"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E-mail:</w:t>
            </w:r>
          </w:p>
        </w:tc>
        <w:tc>
          <w:tcPr>
            <w:tcW w:w="5418" w:type="dxa"/>
            <w:vAlign w:val="center"/>
          </w:tcPr>
          <w:p w14:paraId="14E657C2"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XXXX</w:t>
            </w:r>
          </w:p>
        </w:tc>
      </w:tr>
      <w:tr w:rsidR="00E95ED8" w:rsidRPr="00E95ED8" w14:paraId="39900FD0" w14:textId="77777777" w:rsidTr="00291AFC">
        <w:tc>
          <w:tcPr>
            <w:tcW w:w="1953" w:type="dxa"/>
            <w:shd w:val="pct10" w:color="auto" w:fill="FFFFFF"/>
            <w:vAlign w:val="center"/>
          </w:tcPr>
          <w:p w14:paraId="0F51E40E"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Landline:</w:t>
            </w:r>
          </w:p>
        </w:tc>
        <w:tc>
          <w:tcPr>
            <w:tcW w:w="5418" w:type="dxa"/>
            <w:vAlign w:val="center"/>
          </w:tcPr>
          <w:p w14:paraId="53A69ADE"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XXXXX</w:t>
            </w:r>
          </w:p>
        </w:tc>
      </w:tr>
      <w:tr w:rsidR="00E95ED8" w:rsidRPr="00E95ED8" w14:paraId="58376437" w14:textId="77777777" w:rsidTr="00291AFC">
        <w:tc>
          <w:tcPr>
            <w:tcW w:w="1953" w:type="dxa"/>
            <w:shd w:val="pct10" w:color="auto" w:fill="FFFFFF"/>
            <w:vAlign w:val="center"/>
          </w:tcPr>
          <w:p w14:paraId="66BB7E3E"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r w:rsidRPr="00E95ED8">
              <w:rPr>
                <w:rFonts w:ascii="Times New Roman" w:hAnsi="Times New Roman"/>
                <w:snapToGrid/>
                <w:sz w:val="22"/>
                <w:szCs w:val="22"/>
                <w:lang w:eastAsia="en-GB"/>
              </w:rPr>
              <w:t>Mobile:</w:t>
            </w:r>
          </w:p>
        </w:tc>
        <w:tc>
          <w:tcPr>
            <w:tcW w:w="5418" w:type="dxa"/>
            <w:vAlign w:val="center"/>
          </w:tcPr>
          <w:p w14:paraId="41E70F01" w14:textId="77777777" w:rsidR="00E95ED8" w:rsidRPr="00E95ED8" w:rsidRDefault="00E95ED8" w:rsidP="00E95ED8">
            <w:pPr>
              <w:keepNext/>
              <w:keepLines/>
              <w:spacing w:before="0"/>
              <w:ind w:left="567" w:hanging="567"/>
              <w:jc w:val="both"/>
              <w:rPr>
                <w:rFonts w:ascii="Times New Roman" w:hAnsi="Times New Roman"/>
                <w:snapToGrid/>
                <w:sz w:val="22"/>
                <w:szCs w:val="22"/>
                <w:lang w:eastAsia="en-GB"/>
              </w:rPr>
            </w:pPr>
            <w:hyperlink r:id="rId8" w:history="1">
              <w:r w:rsidRPr="00E95ED8">
                <w:rPr>
                  <w:rFonts w:ascii="Times New Roman" w:hAnsi="Times New Roman"/>
                  <w:snapToGrid/>
                  <w:sz w:val="22"/>
                  <w:szCs w:val="22"/>
                  <w:lang w:eastAsia="en-GB"/>
                </w:rPr>
                <w:t>XXXXXX</w:t>
              </w:r>
            </w:hyperlink>
          </w:p>
        </w:tc>
      </w:tr>
    </w:tbl>
    <w:p w14:paraId="600C7D6D" w14:textId="77777777" w:rsidR="00E95ED8" w:rsidRPr="00E95ED8" w:rsidRDefault="00E95ED8" w:rsidP="00E95ED8">
      <w:pPr>
        <w:keepNext/>
        <w:keepLines/>
        <w:spacing w:before="0"/>
        <w:ind w:left="1701" w:hanging="567"/>
        <w:jc w:val="both"/>
        <w:rPr>
          <w:rFonts w:ascii="Times New Roman" w:hAnsi="Times New Roman"/>
          <w:snapToGrid/>
          <w:sz w:val="22"/>
          <w:szCs w:val="22"/>
          <w:lang w:eastAsia="en-GB"/>
        </w:rPr>
      </w:pPr>
    </w:p>
    <w:p w14:paraId="7B0EBBEA" w14:textId="77777777" w:rsidR="0047783A" w:rsidRPr="003D6B6C" w:rsidRDefault="0047783A" w:rsidP="001B55AC">
      <w:pPr>
        <w:keepNext/>
        <w:spacing w:before="240"/>
        <w:ind w:left="1134" w:hanging="1134"/>
        <w:jc w:val="both"/>
        <w:rPr>
          <w:rFonts w:ascii="Times New Roman" w:hAnsi="Times New Roman"/>
          <w:b/>
          <w:sz w:val="24"/>
          <w:szCs w:val="24"/>
        </w:rPr>
      </w:pPr>
      <w:bookmarkStart w:id="7" w:name="_Toc124934900"/>
      <w:bookmarkEnd w:id="6"/>
      <w:r w:rsidRPr="003D6B6C">
        <w:rPr>
          <w:rFonts w:ascii="Times New Roman" w:hAnsi="Times New Roman"/>
          <w:b/>
          <w:sz w:val="24"/>
          <w:szCs w:val="24"/>
        </w:rPr>
        <w:t>Article 10</w:t>
      </w:r>
      <w:r w:rsidRPr="003D6B6C">
        <w:rPr>
          <w:rFonts w:ascii="Times New Roman" w:hAnsi="Times New Roman"/>
          <w:b/>
          <w:sz w:val="24"/>
          <w:szCs w:val="24"/>
        </w:rPr>
        <w:tab/>
        <w:t>Origin</w:t>
      </w:r>
      <w:bookmarkEnd w:id="7"/>
    </w:p>
    <w:p w14:paraId="100223A3" w14:textId="55DE6A2D" w:rsidR="00D71A4C" w:rsidRPr="00D71A4C" w:rsidRDefault="0047783A" w:rsidP="00D71A4C">
      <w:pPr>
        <w:ind w:left="360"/>
        <w:jc w:val="both"/>
        <w:outlineLvl w:val="1"/>
        <w:rPr>
          <w:rFonts w:ascii="Times New Roman" w:hAnsi="Times New Roman"/>
          <w:sz w:val="22"/>
          <w:szCs w:val="22"/>
        </w:rPr>
      </w:pPr>
      <w:r w:rsidRPr="003D6B6C">
        <w:rPr>
          <w:rFonts w:ascii="Times New Roman" w:hAnsi="Times New Roman"/>
          <w:sz w:val="22"/>
          <w:szCs w:val="22"/>
        </w:rPr>
        <w:t>10.1</w:t>
      </w:r>
      <w:r w:rsidRPr="003D6B6C">
        <w:rPr>
          <w:rFonts w:ascii="Times New Roman" w:hAnsi="Times New Roman"/>
          <w:sz w:val="22"/>
          <w:szCs w:val="22"/>
        </w:rPr>
        <w:tab/>
      </w:r>
      <w:bookmarkStart w:id="8" w:name="_Toc124934901"/>
      <w:r w:rsidR="00D71A4C" w:rsidRPr="00515419">
        <w:rPr>
          <w:rFonts w:ascii="Times New Roman" w:hAnsi="Times New Roman"/>
          <w:sz w:val="22"/>
          <w:szCs w:val="22"/>
        </w:rPr>
        <w:t>No rule of origin is applied</w:t>
      </w:r>
      <w:r w:rsidR="00D71A4C" w:rsidRPr="00C50C60">
        <w:rPr>
          <w:rFonts w:ascii="Times New Roman" w:hAnsi="Times New Roman"/>
          <w:sz w:val="22"/>
          <w:szCs w:val="22"/>
        </w:rPr>
        <w:t>.</w:t>
      </w:r>
    </w:p>
    <w:p w14:paraId="08F8112F" w14:textId="358A26E0" w:rsidR="0047783A" w:rsidRPr="003D6B6C" w:rsidRDefault="0047783A" w:rsidP="00B34179">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11</w:t>
      </w:r>
      <w:r w:rsidRPr="003D6B6C">
        <w:rPr>
          <w:rFonts w:ascii="Times New Roman" w:hAnsi="Times New Roman"/>
          <w:b/>
          <w:sz w:val="24"/>
          <w:szCs w:val="24"/>
        </w:rPr>
        <w:tab/>
        <w:t>Performance guarantee</w:t>
      </w:r>
      <w:bookmarkEnd w:id="8"/>
    </w:p>
    <w:p w14:paraId="350C08D3" w14:textId="25A80650" w:rsidR="00D71A4C" w:rsidRPr="005E3652" w:rsidRDefault="00F355C1" w:rsidP="00D71A4C">
      <w:pPr>
        <w:pStyle w:val="Blockquote"/>
        <w:keepNext/>
        <w:keepLines/>
        <w:ind w:left="644" w:right="1"/>
        <w:jc w:val="both"/>
        <w:rPr>
          <w:sz w:val="22"/>
          <w:szCs w:val="22"/>
          <w:lang w:val="en-GB"/>
        </w:rPr>
      </w:pPr>
      <w:r w:rsidRPr="003D6B6C">
        <w:rPr>
          <w:rFonts w:ascii="Times New Roman" w:hAnsi="Times New Roman"/>
          <w:sz w:val="22"/>
          <w:szCs w:val="22"/>
        </w:rPr>
        <w:t>11.1</w:t>
      </w:r>
      <w:bookmarkStart w:id="9" w:name="_Toc124934902"/>
      <w:r w:rsidR="00D71A4C">
        <w:rPr>
          <w:rFonts w:ascii="Times New Roman" w:hAnsi="Times New Roman"/>
          <w:sz w:val="22"/>
          <w:szCs w:val="22"/>
        </w:rPr>
        <w:t xml:space="preserve"> </w:t>
      </w:r>
      <w:r w:rsidR="00D71A4C">
        <w:rPr>
          <w:rFonts w:ascii="Times New Roman" w:hAnsi="Times New Roman"/>
          <w:sz w:val="22"/>
          <w:szCs w:val="22"/>
          <w:lang w:val="en-GB"/>
        </w:rPr>
        <w:t xml:space="preserve"> </w:t>
      </w:r>
      <w:r w:rsidR="00D71A4C" w:rsidRPr="004E73C8">
        <w:rPr>
          <w:rFonts w:ascii="Times New Roman" w:hAnsi="Times New Roman"/>
          <w:sz w:val="22"/>
          <w:szCs w:val="22"/>
          <w:lang w:val="en-GB"/>
        </w:rPr>
        <w:t xml:space="preserve">A performance guarantee will be required only if the value of the individual </w:t>
      </w:r>
      <w:r w:rsidR="00D71A4C">
        <w:rPr>
          <w:rFonts w:ascii="Times New Roman" w:hAnsi="Times New Roman"/>
          <w:sz w:val="22"/>
          <w:szCs w:val="22"/>
          <w:lang w:val="en-GB"/>
        </w:rPr>
        <w:t>Order Form</w:t>
      </w:r>
      <w:r w:rsidR="00D71A4C" w:rsidRPr="004E73C8">
        <w:rPr>
          <w:rFonts w:ascii="Times New Roman" w:hAnsi="Times New Roman"/>
          <w:sz w:val="22"/>
          <w:szCs w:val="22"/>
          <w:lang w:val="en-GB"/>
        </w:rPr>
        <w:t xml:space="preserve"> is equal or above 20.000 Euros at the time of the issuance of the Order</w:t>
      </w:r>
      <w:r w:rsidR="00D71A4C">
        <w:rPr>
          <w:rFonts w:ascii="Times New Roman" w:hAnsi="Times New Roman"/>
          <w:sz w:val="22"/>
          <w:szCs w:val="22"/>
          <w:lang w:val="en-GB"/>
        </w:rPr>
        <w:t xml:space="preserve"> Form</w:t>
      </w:r>
      <w:r w:rsidR="00D71A4C" w:rsidRPr="004E73C8">
        <w:rPr>
          <w:rFonts w:ascii="Times New Roman" w:hAnsi="Times New Roman"/>
          <w:sz w:val="22"/>
          <w:szCs w:val="22"/>
          <w:lang w:val="en-GB"/>
        </w:rPr>
        <w:t xml:space="preserve"> referred to in the contract and it is set at 5 % of the amount of the Order</w:t>
      </w:r>
      <w:r w:rsidR="00D71A4C">
        <w:rPr>
          <w:rFonts w:ascii="Times New Roman" w:hAnsi="Times New Roman"/>
          <w:sz w:val="22"/>
          <w:szCs w:val="22"/>
          <w:lang w:val="en-GB"/>
        </w:rPr>
        <w:t xml:space="preserve"> Form</w:t>
      </w:r>
      <w:r w:rsidR="00D71A4C" w:rsidRPr="004E73C8">
        <w:rPr>
          <w:rFonts w:ascii="Times New Roman" w:hAnsi="Times New Roman"/>
          <w:sz w:val="22"/>
          <w:szCs w:val="22"/>
          <w:lang w:val="en-GB"/>
        </w:rPr>
        <w:t>.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Order</w:t>
      </w:r>
      <w:r w:rsidR="00D71A4C">
        <w:rPr>
          <w:rFonts w:ascii="Times New Roman" w:hAnsi="Times New Roman"/>
          <w:sz w:val="22"/>
          <w:szCs w:val="22"/>
          <w:lang w:val="en-GB"/>
        </w:rPr>
        <w:t xml:space="preserve"> Form</w:t>
      </w:r>
      <w:r w:rsidR="00D71A4C" w:rsidRPr="004E73C8">
        <w:rPr>
          <w:rFonts w:ascii="Times New Roman" w:hAnsi="Times New Roman"/>
          <w:sz w:val="22"/>
          <w:szCs w:val="22"/>
          <w:lang w:val="en-GB"/>
        </w:rPr>
        <w:t xml:space="preserve"> no later than 30 days after the tenderer receives the Order</w:t>
      </w:r>
      <w:r w:rsidR="00D71A4C">
        <w:rPr>
          <w:rFonts w:ascii="Times New Roman" w:hAnsi="Times New Roman"/>
          <w:sz w:val="22"/>
          <w:szCs w:val="22"/>
          <w:lang w:val="en-GB"/>
        </w:rPr>
        <w:t xml:space="preserve"> Form</w:t>
      </w:r>
      <w:r w:rsidR="00D71A4C" w:rsidRPr="004E73C8">
        <w:rPr>
          <w:rFonts w:ascii="Times New Roman" w:hAnsi="Times New Roman"/>
          <w:sz w:val="22"/>
          <w:szCs w:val="22"/>
          <w:lang w:val="en-GB"/>
        </w:rPr>
        <w:t xml:space="preserve"> signed by the</w:t>
      </w:r>
      <w:r w:rsidR="00D71A4C" w:rsidRPr="00CD0D07">
        <w:rPr>
          <w:rFonts w:ascii="Times New Roman" w:hAnsi="Times New Roman"/>
          <w:sz w:val="22"/>
          <w:lang w:val="en-GB"/>
        </w:rPr>
        <w:t xml:space="preserve"> </w:t>
      </w:r>
      <w:r w:rsidR="00D71A4C">
        <w:rPr>
          <w:rFonts w:ascii="Times New Roman" w:hAnsi="Times New Roman"/>
          <w:sz w:val="22"/>
          <w:lang w:val="en-GB"/>
        </w:rPr>
        <w:t>C</w:t>
      </w:r>
      <w:r w:rsidR="00D71A4C" w:rsidRPr="00515419">
        <w:rPr>
          <w:rFonts w:ascii="Times New Roman" w:hAnsi="Times New Roman"/>
          <w:sz w:val="22"/>
          <w:lang w:val="en-GB"/>
        </w:rPr>
        <w:t xml:space="preserve">ontracting </w:t>
      </w:r>
      <w:r w:rsidR="00D71A4C">
        <w:rPr>
          <w:rFonts w:ascii="Times New Roman" w:hAnsi="Times New Roman"/>
          <w:sz w:val="22"/>
          <w:lang w:val="en-GB"/>
        </w:rPr>
        <w:t>A</w:t>
      </w:r>
      <w:r w:rsidR="00D71A4C" w:rsidRPr="00515419">
        <w:rPr>
          <w:rFonts w:ascii="Times New Roman" w:hAnsi="Times New Roman"/>
          <w:sz w:val="22"/>
          <w:lang w:val="en-GB"/>
        </w:rPr>
        <w:t>uthority</w:t>
      </w:r>
      <w:r w:rsidR="00D71A4C" w:rsidRPr="004E73C8">
        <w:rPr>
          <w:rFonts w:ascii="Times New Roman" w:hAnsi="Times New Roman"/>
          <w:sz w:val="22"/>
          <w:szCs w:val="22"/>
          <w:lang w:val="en-GB"/>
        </w:rPr>
        <w:t xml:space="preserve">. If the selected tenderer fails to provide such a guarantee within this period, the </w:t>
      </w:r>
      <w:r w:rsidR="00D71A4C" w:rsidRPr="008F2734">
        <w:rPr>
          <w:rFonts w:ascii="Times New Roman" w:hAnsi="Times New Roman"/>
          <w:sz w:val="22"/>
          <w:szCs w:val="22"/>
          <w:lang w:val="en-GB"/>
        </w:rPr>
        <w:t xml:space="preserve">Order Form </w:t>
      </w:r>
      <w:r w:rsidR="00D71A4C" w:rsidRPr="004E73C8">
        <w:rPr>
          <w:rFonts w:ascii="Times New Roman" w:hAnsi="Times New Roman"/>
          <w:sz w:val="22"/>
          <w:szCs w:val="22"/>
          <w:lang w:val="en-GB"/>
        </w:rPr>
        <w:t>will be void.</w:t>
      </w:r>
    </w:p>
    <w:p w14:paraId="3D5C62B8" w14:textId="77777777" w:rsidR="000C21BC" w:rsidRDefault="000C21BC" w:rsidP="000C21BC">
      <w:pPr>
        <w:spacing w:before="0"/>
        <w:jc w:val="both"/>
        <w:rPr>
          <w:rFonts w:ascii="Times New Roman" w:hAnsi="Times New Roman"/>
          <w:b/>
          <w:sz w:val="24"/>
          <w:szCs w:val="24"/>
        </w:rPr>
      </w:pPr>
    </w:p>
    <w:p w14:paraId="7E65A926" w14:textId="5F222E70" w:rsidR="0047783A" w:rsidRPr="003D6B6C" w:rsidRDefault="0047783A" w:rsidP="000C21BC">
      <w:pPr>
        <w:spacing w:before="0"/>
        <w:jc w:val="both"/>
        <w:rPr>
          <w:rFonts w:ascii="Times New Roman" w:hAnsi="Times New Roman"/>
          <w:b/>
          <w:sz w:val="24"/>
          <w:szCs w:val="24"/>
        </w:rPr>
      </w:pPr>
      <w:r w:rsidRPr="003D6B6C">
        <w:rPr>
          <w:rFonts w:ascii="Times New Roman" w:hAnsi="Times New Roman"/>
          <w:b/>
          <w:sz w:val="24"/>
          <w:szCs w:val="24"/>
        </w:rPr>
        <w:t>Article 12</w:t>
      </w:r>
      <w:r w:rsidRPr="003D6B6C">
        <w:rPr>
          <w:rFonts w:ascii="Times New Roman" w:hAnsi="Times New Roman"/>
          <w:b/>
          <w:sz w:val="24"/>
          <w:szCs w:val="24"/>
        </w:rPr>
        <w:tab/>
      </w:r>
      <w:r w:rsidR="004D33C9" w:rsidRPr="003D6B6C">
        <w:rPr>
          <w:rFonts w:ascii="Times New Roman" w:hAnsi="Times New Roman"/>
          <w:b/>
          <w:sz w:val="24"/>
          <w:szCs w:val="24"/>
        </w:rPr>
        <w:t xml:space="preserve">Liabilities and </w:t>
      </w:r>
      <w:r w:rsidR="00B2529B">
        <w:rPr>
          <w:rFonts w:ascii="Times New Roman" w:hAnsi="Times New Roman"/>
          <w:b/>
          <w:sz w:val="24"/>
          <w:szCs w:val="24"/>
        </w:rPr>
        <w:t>i</w:t>
      </w:r>
      <w:r w:rsidRPr="003D6B6C">
        <w:rPr>
          <w:rFonts w:ascii="Times New Roman" w:hAnsi="Times New Roman"/>
          <w:b/>
          <w:sz w:val="24"/>
          <w:szCs w:val="24"/>
        </w:rPr>
        <w:t>nsurance</w:t>
      </w:r>
      <w:bookmarkEnd w:id="9"/>
    </w:p>
    <w:p w14:paraId="26C4B04B" w14:textId="2D5AD2BA" w:rsidR="00D71A4C" w:rsidRDefault="004D33C9" w:rsidP="00D71A4C">
      <w:pPr>
        <w:tabs>
          <w:tab w:val="left" w:pos="1134"/>
        </w:tabs>
        <w:spacing w:before="0"/>
        <w:ind w:left="1134" w:hanging="708"/>
        <w:jc w:val="both"/>
        <w:rPr>
          <w:rFonts w:ascii="Times New Roman" w:hAnsi="Times New Roman"/>
          <w:sz w:val="22"/>
          <w:szCs w:val="22"/>
        </w:rPr>
      </w:pPr>
      <w:r w:rsidRPr="003D6B6C">
        <w:rPr>
          <w:rFonts w:ascii="Times New Roman" w:hAnsi="Times New Roman"/>
          <w:sz w:val="22"/>
          <w:szCs w:val="22"/>
        </w:rPr>
        <w:t>12.1</w:t>
      </w:r>
      <w:r w:rsidR="00D71A4C">
        <w:rPr>
          <w:rFonts w:ascii="Times New Roman" w:hAnsi="Times New Roman"/>
          <w:sz w:val="22"/>
          <w:szCs w:val="22"/>
        </w:rPr>
        <w:t xml:space="preserve"> </w:t>
      </w:r>
      <w:r w:rsidR="00D71A4C" w:rsidRPr="00515419">
        <w:rPr>
          <w:rFonts w:ascii="Times New Roman" w:hAnsi="Times New Roman"/>
          <w:sz w:val="22"/>
          <w:szCs w:val="22"/>
        </w:rPr>
        <w:t>The contractor shall insure for replacement value of the goods until delivery</w:t>
      </w:r>
      <w:r w:rsidR="00CE0E21">
        <w:rPr>
          <w:rFonts w:ascii="Times New Roman" w:hAnsi="Times New Roman"/>
          <w:sz w:val="22"/>
          <w:szCs w:val="22"/>
        </w:rPr>
        <w:t>.</w:t>
      </w:r>
    </w:p>
    <w:p w14:paraId="6F08D575" w14:textId="77777777" w:rsidR="00CE0E21" w:rsidRDefault="00CE0E21" w:rsidP="00D71A4C">
      <w:pPr>
        <w:tabs>
          <w:tab w:val="left" w:pos="1134"/>
        </w:tabs>
        <w:spacing w:before="0"/>
        <w:ind w:left="1134" w:hanging="708"/>
        <w:jc w:val="both"/>
        <w:rPr>
          <w:rFonts w:ascii="Times New Roman" w:hAnsi="Times New Roman"/>
          <w:sz w:val="22"/>
          <w:szCs w:val="22"/>
        </w:rPr>
      </w:pPr>
    </w:p>
    <w:p w14:paraId="1960B05E" w14:textId="77777777" w:rsidR="00CE0E21" w:rsidRDefault="00CE0E21" w:rsidP="00D71A4C">
      <w:pPr>
        <w:tabs>
          <w:tab w:val="left" w:pos="1134"/>
        </w:tabs>
        <w:spacing w:before="0"/>
        <w:ind w:left="1134" w:hanging="708"/>
        <w:jc w:val="both"/>
        <w:rPr>
          <w:rFonts w:ascii="Times New Roman" w:hAnsi="Times New Roman"/>
          <w:sz w:val="22"/>
          <w:szCs w:val="22"/>
        </w:rPr>
      </w:pPr>
    </w:p>
    <w:p w14:paraId="74BA0950" w14:textId="77777777" w:rsidR="000C21BC" w:rsidRDefault="000C21BC" w:rsidP="00D71A4C">
      <w:pPr>
        <w:tabs>
          <w:tab w:val="left" w:pos="1134"/>
        </w:tabs>
        <w:spacing w:before="0"/>
        <w:ind w:left="1134" w:hanging="708"/>
        <w:jc w:val="both"/>
        <w:rPr>
          <w:rFonts w:ascii="Times New Roman" w:hAnsi="Times New Roman"/>
          <w:sz w:val="22"/>
          <w:szCs w:val="22"/>
        </w:rPr>
      </w:pPr>
    </w:p>
    <w:p w14:paraId="75978A9C" w14:textId="77777777" w:rsidR="000C21BC" w:rsidRDefault="000C21BC" w:rsidP="000C21BC">
      <w:pPr>
        <w:spacing w:before="240"/>
        <w:ind w:left="1134" w:hanging="1134"/>
        <w:jc w:val="both"/>
        <w:rPr>
          <w:rFonts w:ascii="Times New Roman" w:hAnsi="Times New Roman"/>
          <w:b/>
          <w:sz w:val="24"/>
          <w:szCs w:val="24"/>
        </w:rPr>
      </w:pPr>
      <w:bookmarkStart w:id="10" w:name="_Toc124934905"/>
      <w:r w:rsidRPr="003D6B6C">
        <w:rPr>
          <w:rFonts w:ascii="Times New Roman" w:hAnsi="Times New Roman"/>
          <w:b/>
          <w:sz w:val="24"/>
          <w:szCs w:val="24"/>
        </w:rPr>
        <w:lastRenderedPageBreak/>
        <w:t>Article 15</w:t>
      </w:r>
      <w:r w:rsidRPr="003D6B6C">
        <w:rPr>
          <w:rFonts w:ascii="Times New Roman" w:hAnsi="Times New Roman"/>
          <w:b/>
          <w:sz w:val="24"/>
          <w:szCs w:val="24"/>
        </w:rPr>
        <w:tab/>
        <w:t>Sufficiency of tender prices</w:t>
      </w:r>
      <w:bookmarkEnd w:id="10"/>
    </w:p>
    <w:p w14:paraId="5BF0D929" w14:textId="47829E26" w:rsidR="000C21BC" w:rsidRPr="000C21BC" w:rsidRDefault="000C21BC" w:rsidP="000C21BC">
      <w:pPr>
        <w:jc w:val="both"/>
        <w:rPr>
          <w:rFonts w:ascii="Times New Roman" w:hAnsi="Times New Roman"/>
          <w:b/>
          <w:sz w:val="24"/>
          <w:szCs w:val="24"/>
        </w:rPr>
      </w:pPr>
      <w:r w:rsidRPr="009F323B">
        <w:rPr>
          <w:rFonts w:ascii="Times New Roman" w:hAnsi="Times New Roman"/>
          <w:sz w:val="22"/>
        </w:rPr>
        <w:t xml:space="preserve">The price of the supplies shall be that shown on the financial offer (specimen in Annex IV). </w:t>
      </w:r>
    </w:p>
    <w:p w14:paraId="600A2543" w14:textId="77777777" w:rsidR="00D71A4C" w:rsidRDefault="00D71A4C" w:rsidP="00D71A4C">
      <w:pPr>
        <w:tabs>
          <w:tab w:val="left" w:pos="1134"/>
        </w:tabs>
        <w:spacing w:before="0"/>
        <w:ind w:left="1134" w:hanging="708"/>
        <w:jc w:val="both"/>
        <w:rPr>
          <w:rFonts w:ascii="Times New Roman" w:hAnsi="Times New Roman"/>
          <w:sz w:val="22"/>
          <w:szCs w:val="22"/>
        </w:rPr>
      </w:pPr>
    </w:p>
    <w:p w14:paraId="35D9433B" w14:textId="00445B8D" w:rsidR="00C52305" w:rsidRPr="003D6B6C" w:rsidRDefault="00C52305" w:rsidP="00D71A4C">
      <w:pPr>
        <w:tabs>
          <w:tab w:val="left" w:pos="1134"/>
        </w:tabs>
        <w:spacing w:before="0"/>
        <w:jc w:val="both"/>
        <w:rPr>
          <w:rFonts w:ascii="Times New Roman" w:hAnsi="Times New Roman"/>
          <w:b/>
          <w:sz w:val="24"/>
          <w:szCs w:val="24"/>
        </w:rPr>
      </w:pPr>
      <w:r w:rsidRPr="003D6B6C">
        <w:rPr>
          <w:rFonts w:ascii="Times New Roman" w:hAnsi="Times New Roman"/>
          <w:b/>
          <w:sz w:val="24"/>
          <w:szCs w:val="24"/>
        </w:rPr>
        <w:t>Article 16</w:t>
      </w:r>
      <w:r w:rsidRPr="003D6B6C">
        <w:rPr>
          <w:rFonts w:ascii="Times New Roman" w:hAnsi="Times New Roman"/>
          <w:b/>
          <w:sz w:val="24"/>
          <w:szCs w:val="24"/>
        </w:rPr>
        <w:tab/>
        <w:t>Tax and customs arrangements</w:t>
      </w:r>
    </w:p>
    <w:p w14:paraId="7AA13C9F" w14:textId="77777777" w:rsidR="00D71A4C" w:rsidRPr="003B6BCD" w:rsidRDefault="00C52305" w:rsidP="00D71A4C">
      <w:pPr>
        <w:spacing w:before="240"/>
        <w:ind w:left="1134" w:hanging="1134"/>
        <w:jc w:val="both"/>
        <w:rPr>
          <w:rFonts w:ascii="Times New Roman" w:hAnsi="Times New Roman"/>
          <w:sz w:val="22"/>
          <w:szCs w:val="22"/>
        </w:rPr>
      </w:pPr>
      <w:r w:rsidRPr="003D6B6C">
        <w:rPr>
          <w:rFonts w:ascii="Times New Roman" w:hAnsi="Times New Roman"/>
          <w:sz w:val="22"/>
          <w:szCs w:val="22"/>
        </w:rPr>
        <w:t>16.1</w:t>
      </w:r>
      <w:r w:rsidRPr="003D6B6C">
        <w:rPr>
          <w:rFonts w:ascii="Times New Roman" w:hAnsi="Times New Roman"/>
          <w:sz w:val="22"/>
          <w:szCs w:val="22"/>
        </w:rPr>
        <w:tab/>
      </w:r>
      <w:r w:rsidR="00D71A4C" w:rsidRPr="003B6BCD">
        <w:rPr>
          <w:rFonts w:ascii="Times New Roman" w:hAnsi="Times New Roman"/>
          <w:sz w:val="22"/>
          <w:szCs w:val="22"/>
        </w:rPr>
        <w:t>The terms of delivery of the goods shall be DAP (Delivered At Place) - Incoterms 20</w:t>
      </w:r>
      <w:r w:rsidR="00D71A4C">
        <w:rPr>
          <w:rFonts w:ascii="Times New Roman" w:hAnsi="Times New Roman"/>
          <w:sz w:val="22"/>
          <w:szCs w:val="22"/>
        </w:rPr>
        <w:t>20</w:t>
      </w:r>
      <w:r w:rsidR="00D71A4C" w:rsidRPr="003B6BCD">
        <w:rPr>
          <w:rFonts w:ascii="Times New Roman" w:hAnsi="Times New Roman"/>
          <w:sz w:val="22"/>
          <w:szCs w:val="22"/>
        </w:rPr>
        <w:t xml:space="preserve"> International Chamber of commerce</w:t>
      </w:r>
      <w:r w:rsidR="00D71A4C">
        <w:rPr>
          <w:rFonts w:ascii="Times New Roman" w:hAnsi="Times New Roman"/>
          <w:sz w:val="22"/>
          <w:szCs w:val="22"/>
        </w:rPr>
        <w:t>.</w:t>
      </w:r>
    </w:p>
    <w:p w14:paraId="169FA2AA" w14:textId="77777777" w:rsidR="00D71A4C" w:rsidRPr="003B6BCD" w:rsidRDefault="00D71A4C" w:rsidP="00D71A4C">
      <w:pPr>
        <w:spacing w:before="240"/>
        <w:ind w:left="1134" w:hanging="1134"/>
        <w:jc w:val="both"/>
        <w:rPr>
          <w:rFonts w:ascii="Times New Roman" w:hAnsi="Times New Roman"/>
          <w:sz w:val="22"/>
          <w:szCs w:val="22"/>
        </w:rPr>
      </w:pPr>
      <w:r w:rsidRPr="003B6BCD">
        <w:rPr>
          <w:rFonts w:ascii="Times New Roman" w:hAnsi="Times New Roman"/>
          <w:sz w:val="22"/>
          <w:szCs w:val="22"/>
        </w:rPr>
        <w:tab/>
        <w:t>For supplies manufactured locally, all internal fiscal charges applicable to t</w:t>
      </w:r>
      <w:r>
        <w:rPr>
          <w:rFonts w:ascii="Times New Roman" w:hAnsi="Times New Roman"/>
          <w:sz w:val="22"/>
          <w:szCs w:val="22"/>
        </w:rPr>
        <w:t>heir manufacture, including VAT</w:t>
      </w:r>
      <w:r w:rsidRPr="003B6BCD">
        <w:rPr>
          <w:rFonts w:ascii="Times New Roman" w:hAnsi="Times New Roman"/>
          <w:sz w:val="22"/>
          <w:szCs w:val="22"/>
        </w:rPr>
        <w:t>, shall be excluded.</w:t>
      </w:r>
    </w:p>
    <w:p w14:paraId="053013D3" w14:textId="77777777" w:rsidR="00D71A4C" w:rsidRPr="003B6BCD" w:rsidRDefault="00D71A4C" w:rsidP="00D71A4C">
      <w:pPr>
        <w:spacing w:before="240"/>
        <w:ind w:left="1134"/>
        <w:jc w:val="both"/>
        <w:rPr>
          <w:rFonts w:ascii="Times New Roman" w:hAnsi="Times New Roman"/>
          <w:sz w:val="22"/>
          <w:szCs w:val="22"/>
        </w:rPr>
      </w:pPr>
      <w:r w:rsidRPr="003B6BCD">
        <w:rPr>
          <w:rFonts w:ascii="Times New Roman" w:hAnsi="Times New Roman"/>
          <w:sz w:val="22"/>
          <w:szCs w:val="22"/>
        </w:rPr>
        <w:t>For supplies to be imported into the country of the Contracting Authority, all duties and taxes applicable to their importation, including VAT shall be excluded.</w:t>
      </w:r>
    </w:p>
    <w:p w14:paraId="6791D5F8" w14:textId="6ED34936" w:rsidR="00D71A4C" w:rsidRPr="000C21BC" w:rsidRDefault="00D71A4C" w:rsidP="000C21BC">
      <w:pPr>
        <w:spacing w:before="240"/>
        <w:ind w:left="1134"/>
        <w:jc w:val="both"/>
        <w:rPr>
          <w:rFonts w:ascii="Times New Roman" w:hAnsi="Times New Roman"/>
          <w:sz w:val="22"/>
          <w:szCs w:val="22"/>
        </w:rPr>
      </w:pPr>
      <w:r w:rsidRPr="003B6BCD">
        <w:rPr>
          <w:rFonts w:ascii="Times New Roman" w:hAnsi="Times New Roman"/>
          <w:sz w:val="22"/>
          <w:szCs w:val="22"/>
        </w:rPr>
        <w:t>Whatever the origin of the supplies, the contract shall be exempt from stamp and registration duties.</w:t>
      </w:r>
      <w:bookmarkStart w:id="11" w:name="_Toc124934907"/>
    </w:p>
    <w:p w14:paraId="68BC2499" w14:textId="34637BD1" w:rsidR="00EB32E9" w:rsidRPr="003D6B6C" w:rsidRDefault="0047783A" w:rsidP="00B34179">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18</w:t>
      </w:r>
      <w:r w:rsidRPr="003D6B6C">
        <w:rPr>
          <w:rFonts w:ascii="Times New Roman" w:hAnsi="Times New Roman"/>
          <w:b/>
          <w:sz w:val="24"/>
          <w:szCs w:val="24"/>
        </w:rPr>
        <w:tab/>
      </w:r>
      <w:r w:rsidR="00015C5E">
        <w:rPr>
          <w:rFonts w:ascii="Times New Roman" w:hAnsi="Times New Roman"/>
          <w:b/>
          <w:sz w:val="24"/>
          <w:szCs w:val="24"/>
        </w:rPr>
        <w:t xml:space="preserve">Delivery </w:t>
      </w:r>
      <w:r w:rsidRPr="003D6B6C">
        <w:rPr>
          <w:rFonts w:ascii="Times New Roman" w:hAnsi="Times New Roman"/>
          <w:b/>
          <w:sz w:val="24"/>
          <w:szCs w:val="24"/>
        </w:rPr>
        <w:t>order</w:t>
      </w:r>
      <w:bookmarkEnd w:id="11"/>
      <w:r w:rsidR="00EB32E9" w:rsidRPr="003D6B6C">
        <w:rPr>
          <w:rFonts w:ascii="Times New Roman" w:hAnsi="Times New Roman"/>
          <w:b/>
          <w:sz w:val="24"/>
          <w:szCs w:val="24"/>
        </w:rPr>
        <w:t xml:space="preserve"> </w:t>
      </w:r>
    </w:p>
    <w:p w14:paraId="1EFB3249" w14:textId="77777777" w:rsidR="00D71A4C" w:rsidRDefault="0047783A" w:rsidP="00D71A4C">
      <w:pPr>
        <w:ind w:left="1134" w:hanging="709"/>
        <w:jc w:val="both"/>
        <w:rPr>
          <w:rFonts w:ascii="Times New Roman" w:hAnsi="Times New Roman"/>
          <w:sz w:val="22"/>
          <w:szCs w:val="22"/>
        </w:rPr>
      </w:pPr>
      <w:r w:rsidRPr="003D6B6C">
        <w:rPr>
          <w:rFonts w:ascii="Times New Roman" w:hAnsi="Times New Roman"/>
          <w:sz w:val="22"/>
          <w:szCs w:val="22"/>
        </w:rPr>
        <w:t>18.1</w:t>
      </w:r>
      <w:r w:rsidRPr="003D6B6C">
        <w:rPr>
          <w:rFonts w:ascii="Times New Roman" w:hAnsi="Times New Roman"/>
          <w:b/>
          <w:sz w:val="22"/>
          <w:szCs w:val="22"/>
        </w:rPr>
        <w:tab/>
      </w:r>
      <w:bookmarkStart w:id="12" w:name="_Toc124934908"/>
      <w:r w:rsidR="00D71A4C" w:rsidRPr="00515419">
        <w:rPr>
          <w:rFonts w:ascii="Times New Roman" w:hAnsi="Times New Roman"/>
          <w:sz w:val="22"/>
          <w:szCs w:val="22"/>
        </w:rPr>
        <w:t xml:space="preserve">The framework contract shall enter into force </w:t>
      </w:r>
      <w:r w:rsidR="00D71A4C" w:rsidRPr="00FF735C">
        <w:rPr>
          <w:rFonts w:ascii="Times New Roman" w:hAnsi="Times New Roman"/>
          <w:sz w:val="22"/>
          <w:szCs w:val="22"/>
        </w:rPr>
        <w:t>on the date of signature of the contract by both parties.</w:t>
      </w:r>
      <w:r w:rsidR="00D71A4C" w:rsidRPr="00515419">
        <w:rPr>
          <w:rFonts w:ascii="Times New Roman" w:hAnsi="Times New Roman"/>
          <w:sz w:val="22"/>
          <w:szCs w:val="22"/>
        </w:rPr>
        <w:t xml:space="preserve">  </w:t>
      </w:r>
    </w:p>
    <w:p w14:paraId="40415148" w14:textId="79D29716" w:rsidR="0047783A" w:rsidRPr="003D6B6C" w:rsidRDefault="0047783A" w:rsidP="00D71A4C">
      <w:pPr>
        <w:jc w:val="both"/>
        <w:rPr>
          <w:rFonts w:ascii="Times New Roman" w:hAnsi="Times New Roman"/>
          <w:b/>
          <w:sz w:val="24"/>
          <w:szCs w:val="24"/>
        </w:rPr>
      </w:pPr>
      <w:r w:rsidRPr="003D6B6C">
        <w:rPr>
          <w:rFonts w:ascii="Times New Roman" w:hAnsi="Times New Roman"/>
          <w:b/>
          <w:sz w:val="24"/>
          <w:szCs w:val="24"/>
        </w:rPr>
        <w:t>Article 19</w:t>
      </w:r>
      <w:r w:rsidRPr="003D6B6C">
        <w:rPr>
          <w:rFonts w:ascii="Times New Roman" w:hAnsi="Times New Roman"/>
          <w:b/>
          <w:sz w:val="24"/>
          <w:szCs w:val="24"/>
        </w:rPr>
        <w:tab/>
        <w:t xml:space="preserve">Period of </w:t>
      </w:r>
      <w:r w:rsidR="00D662AA" w:rsidRPr="003D6B6C">
        <w:rPr>
          <w:rFonts w:ascii="Times New Roman" w:hAnsi="Times New Roman"/>
          <w:b/>
          <w:sz w:val="24"/>
          <w:szCs w:val="24"/>
        </w:rPr>
        <w:t>i</w:t>
      </w:r>
      <w:r w:rsidRPr="003D6B6C">
        <w:rPr>
          <w:rFonts w:ascii="Times New Roman" w:hAnsi="Times New Roman"/>
          <w:b/>
          <w:sz w:val="24"/>
          <w:szCs w:val="24"/>
        </w:rPr>
        <w:t>mplementation</w:t>
      </w:r>
      <w:bookmarkEnd w:id="12"/>
      <w:r w:rsidRPr="003D6B6C">
        <w:rPr>
          <w:rFonts w:ascii="Times New Roman" w:hAnsi="Times New Roman"/>
          <w:b/>
          <w:sz w:val="24"/>
          <w:szCs w:val="24"/>
        </w:rPr>
        <w:t xml:space="preserve"> of the tasks</w:t>
      </w:r>
    </w:p>
    <w:p w14:paraId="717E2BF8" w14:textId="36BFCDA9" w:rsidR="007B7A35" w:rsidRDefault="0047783A" w:rsidP="00D71A4C">
      <w:pPr>
        <w:spacing w:before="240"/>
        <w:ind w:left="1134" w:hanging="1134"/>
        <w:jc w:val="both"/>
        <w:rPr>
          <w:rFonts w:ascii="Times New Roman" w:hAnsi="Times New Roman"/>
          <w:sz w:val="22"/>
          <w:szCs w:val="22"/>
          <w:lang w:val="en-US"/>
        </w:rPr>
      </w:pPr>
      <w:r w:rsidRPr="003D6B6C">
        <w:rPr>
          <w:rFonts w:ascii="Times New Roman" w:hAnsi="Times New Roman"/>
          <w:sz w:val="22"/>
          <w:szCs w:val="22"/>
        </w:rPr>
        <w:t>19.1</w:t>
      </w:r>
      <w:r w:rsidRPr="003D6B6C">
        <w:rPr>
          <w:rFonts w:ascii="Times New Roman" w:hAnsi="Times New Roman"/>
          <w:b/>
          <w:sz w:val="22"/>
          <w:szCs w:val="22"/>
        </w:rPr>
        <w:tab/>
      </w:r>
      <w:bookmarkStart w:id="13" w:name="_Toc124934910"/>
      <w:r w:rsidR="00D71A4C" w:rsidRPr="00E2713B">
        <w:rPr>
          <w:rFonts w:ascii="Times New Roman" w:hAnsi="Times New Roman"/>
          <w:sz w:val="22"/>
          <w:szCs w:val="22"/>
        </w:rPr>
        <w:t>The fr</w:t>
      </w:r>
      <w:r w:rsidR="00D71A4C" w:rsidRPr="001C42CD">
        <w:rPr>
          <w:rFonts w:ascii="Times New Roman" w:hAnsi="Times New Roman"/>
          <w:sz w:val="22"/>
          <w:szCs w:val="22"/>
        </w:rPr>
        <w:t>amework contract will be implemented by means of “</w:t>
      </w:r>
      <w:r w:rsidR="00D71A4C">
        <w:rPr>
          <w:rFonts w:ascii="Times New Roman" w:hAnsi="Times New Roman"/>
          <w:sz w:val="22"/>
          <w:szCs w:val="22"/>
        </w:rPr>
        <w:t>Order Form</w:t>
      </w:r>
      <w:r w:rsidR="00D71A4C" w:rsidRPr="001C42CD">
        <w:rPr>
          <w:rFonts w:ascii="Times New Roman" w:hAnsi="Times New Roman"/>
          <w:sz w:val="22"/>
          <w:szCs w:val="22"/>
        </w:rPr>
        <w:t>” which</w:t>
      </w:r>
      <w:r w:rsidR="00430776">
        <w:rPr>
          <w:rFonts w:ascii="Times New Roman" w:hAnsi="Times New Roman"/>
          <w:sz w:val="22"/>
          <w:szCs w:val="22"/>
        </w:rPr>
        <w:t xml:space="preserve"> </w:t>
      </w:r>
      <w:r w:rsidR="00D71A4C" w:rsidRPr="001C42CD">
        <w:rPr>
          <w:rFonts w:ascii="Times New Roman" w:hAnsi="Times New Roman"/>
          <w:sz w:val="22"/>
          <w:szCs w:val="22"/>
        </w:rPr>
        <w:t>implementation date will start on the date of reception by the Contractor of a</w:t>
      </w:r>
      <w:r w:rsidR="00D71A4C">
        <w:rPr>
          <w:rFonts w:ascii="Times New Roman" w:hAnsi="Times New Roman"/>
          <w:sz w:val="22"/>
          <w:szCs w:val="22"/>
        </w:rPr>
        <w:t>n Order Form</w:t>
      </w:r>
      <w:r w:rsidR="00D71A4C" w:rsidRPr="001C42CD">
        <w:rPr>
          <w:rFonts w:ascii="Times New Roman" w:hAnsi="Times New Roman"/>
          <w:sz w:val="22"/>
          <w:szCs w:val="22"/>
        </w:rPr>
        <w:t>.</w:t>
      </w:r>
      <w:r w:rsidR="00D71A4C">
        <w:rPr>
          <w:rFonts w:ascii="Times New Roman" w:hAnsi="Times New Roman"/>
          <w:sz w:val="22"/>
          <w:szCs w:val="22"/>
        </w:rPr>
        <w:t xml:space="preserve"> </w:t>
      </w:r>
      <w:r w:rsidR="00D71A4C" w:rsidRPr="001E6A90">
        <w:rPr>
          <w:rFonts w:ascii="Times New Roman" w:hAnsi="Times New Roman"/>
          <w:sz w:val="22"/>
          <w:szCs w:val="22"/>
          <w:lang w:val="en-US"/>
        </w:rPr>
        <w:t xml:space="preserve">The time limits for </w:t>
      </w:r>
      <w:r w:rsidR="00D71A4C">
        <w:rPr>
          <w:rFonts w:ascii="Times New Roman" w:hAnsi="Times New Roman"/>
          <w:sz w:val="22"/>
          <w:szCs w:val="22"/>
          <w:lang w:val="en-US"/>
        </w:rPr>
        <w:t xml:space="preserve">the delivery of items shall be </w:t>
      </w:r>
      <w:r w:rsidR="00D71A4C" w:rsidRPr="001E6A90">
        <w:rPr>
          <w:rFonts w:ascii="Times New Roman" w:hAnsi="Times New Roman"/>
          <w:sz w:val="22"/>
          <w:szCs w:val="22"/>
          <w:lang w:val="en-US"/>
        </w:rPr>
        <w:t>within</w:t>
      </w:r>
    </w:p>
    <w:p w14:paraId="1EEEEFBF" w14:textId="0C4A3920" w:rsidR="007B7A35" w:rsidRPr="007B7A35" w:rsidRDefault="007B7A35" w:rsidP="007B7A35">
      <w:pPr>
        <w:spacing w:before="240"/>
        <w:ind w:left="1134" w:hanging="1134"/>
        <w:jc w:val="both"/>
        <w:rPr>
          <w:rFonts w:ascii="Times New Roman" w:hAnsi="Times New Roman"/>
          <w:sz w:val="22"/>
          <w:szCs w:val="22"/>
          <w:lang w:val="en-US"/>
        </w:rPr>
      </w:pPr>
      <w:r>
        <w:rPr>
          <w:rFonts w:ascii="Times New Roman" w:hAnsi="Times New Roman"/>
          <w:sz w:val="22"/>
          <w:szCs w:val="22"/>
          <w:lang w:val="en-US"/>
        </w:rPr>
        <w:t xml:space="preserve">                     </w:t>
      </w:r>
      <w:r w:rsidRPr="007B7A35">
        <w:rPr>
          <w:rFonts w:ascii="Times New Roman" w:hAnsi="Times New Roman"/>
          <w:sz w:val="22"/>
          <w:szCs w:val="22"/>
          <w:lang w:val="en-US"/>
        </w:rPr>
        <w:t>For lot 1</w:t>
      </w:r>
      <w:r>
        <w:rPr>
          <w:rFonts w:ascii="Times New Roman" w:hAnsi="Times New Roman"/>
          <w:sz w:val="22"/>
          <w:szCs w:val="22"/>
          <w:lang w:val="en-US"/>
        </w:rPr>
        <w:t xml:space="preserve">: </w:t>
      </w:r>
      <w:r w:rsidRPr="007B7A35">
        <w:rPr>
          <w:rFonts w:ascii="Times New Roman" w:hAnsi="Times New Roman"/>
          <w:sz w:val="22"/>
          <w:szCs w:val="22"/>
          <w:lang w:val="en-US"/>
        </w:rPr>
        <w:t>within 60 calendar days from the date of the signature of a</w:t>
      </w:r>
      <w:r>
        <w:rPr>
          <w:rFonts w:ascii="Times New Roman" w:hAnsi="Times New Roman"/>
          <w:sz w:val="22"/>
          <w:szCs w:val="22"/>
          <w:lang w:val="en-US"/>
        </w:rPr>
        <w:t xml:space="preserve">n order form </w:t>
      </w:r>
      <w:r w:rsidRPr="007B7A35">
        <w:rPr>
          <w:rFonts w:ascii="Times New Roman" w:hAnsi="Times New Roman"/>
          <w:sz w:val="22"/>
          <w:szCs w:val="22"/>
          <w:lang w:val="en-US"/>
        </w:rPr>
        <w:t>by both parties.</w:t>
      </w:r>
    </w:p>
    <w:p w14:paraId="1314E5A8" w14:textId="34195061" w:rsidR="007B7A35" w:rsidRDefault="007B7A35" w:rsidP="007B7A35">
      <w:pPr>
        <w:spacing w:before="240"/>
        <w:ind w:left="1134" w:hanging="1134"/>
        <w:jc w:val="both"/>
        <w:rPr>
          <w:rFonts w:ascii="Times New Roman" w:hAnsi="Times New Roman"/>
          <w:sz w:val="22"/>
          <w:szCs w:val="22"/>
        </w:rPr>
      </w:pPr>
      <w:r>
        <w:rPr>
          <w:rFonts w:ascii="Times New Roman" w:hAnsi="Times New Roman"/>
          <w:sz w:val="22"/>
          <w:szCs w:val="22"/>
          <w:lang w:val="en-US"/>
        </w:rPr>
        <w:t xml:space="preserve">                    </w:t>
      </w:r>
      <w:r w:rsidRPr="007B7A35">
        <w:rPr>
          <w:rFonts w:ascii="Times New Roman" w:hAnsi="Times New Roman"/>
          <w:sz w:val="22"/>
          <w:szCs w:val="22"/>
          <w:lang w:val="en-US"/>
        </w:rPr>
        <w:t xml:space="preserve"> </w:t>
      </w:r>
      <w:r w:rsidRPr="007B7A35">
        <w:rPr>
          <w:rFonts w:ascii="Times New Roman" w:hAnsi="Times New Roman"/>
          <w:sz w:val="22"/>
          <w:szCs w:val="22"/>
        </w:rPr>
        <w:t>For Lot 2: within 90 calendar days from the date of the signature of a</w:t>
      </w:r>
      <w:r>
        <w:rPr>
          <w:rFonts w:ascii="Times New Roman" w:hAnsi="Times New Roman"/>
          <w:sz w:val="22"/>
          <w:szCs w:val="22"/>
        </w:rPr>
        <w:t xml:space="preserve">n order form </w:t>
      </w:r>
      <w:r w:rsidRPr="007B7A35">
        <w:rPr>
          <w:rFonts w:ascii="Times New Roman" w:hAnsi="Times New Roman"/>
          <w:sz w:val="22"/>
          <w:szCs w:val="22"/>
        </w:rPr>
        <w:t>by both parties.</w:t>
      </w:r>
      <w:r w:rsidR="00D71A4C" w:rsidRPr="007B7A35">
        <w:rPr>
          <w:rFonts w:ascii="Times New Roman" w:hAnsi="Times New Roman"/>
          <w:sz w:val="22"/>
          <w:szCs w:val="22"/>
        </w:rPr>
        <w:t xml:space="preserve">   </w:t>
      </w:r>
      <w:r w:rsidR="00D71A4C" w:rsidRPr="007B7A35">
        <w:rPr>
          <w:rFonts w:ascii="Times New Roman" w:hAnsi="Times New Roman"/>
          <w:sz w:val="22"/>
          <w:szCs w:val="22"/>
        </w:rPr>
        <w:tab/>
      </w:r>
    </w:p>
    <w:p w14:paraId="718F6868" w14:textId="2E35F524" w:rsidR="00D71A4C" w:rsidRPr="0016310D" w:rsidRDefault="007B7A35" w:rsidP="007B7A35">
      <w:pPr>
        <w:spacing w:before="240"/>
        <w:ind w:left="1134" w:hanging="1134"/>
        <w:jc w:val="both"/>
        <w:rPr>
          <w:rFonts w:ascii="Times New Roman" w:hAnsi="Times New Roman"/>
          <w:sz w:val="22"/>
          <w:szCs w:val="22"/>
        </w:rPr>
      </w:pPr>
      <w:r>
        <w:rPr>
          <w:rFonts w:ascii="Times New Roman" w:hAnsi="Times New Roman"/>
          <w:sz w:val="22"/>
          <w:szCs w:val="22"/>
        </w:rPr>
        <w:t xml:space="preserve">                    </w:t>
      </w:r>
      <w:r w:rsidR="00D71A4C" w:rsidRPr="007B7A35">
        <w:rPr>
          <w:rFonts w:ascii="Times New Roman" w:hAnsi="Times New Roman"/>
          <w:sz w:val="22"/>
          <w:szCs w:val="22"/>
        </w:rPr>
        <w:t>Under no circumstances may Order Forms be placed before the date on which the</w:t>
      </w:r>
      <w:r w:rsidR="00430776">
        <w:rPr>
          <w:rFonts w:ascii="Times New Roman" w:hAnsi="Times New Roman"/>
          <w:sz w:val="22"/>
          <w:szCs w:val="22"/>
        </w:rPr>
        <w:t xml:space="preserve"> </w:t>
      </w:r>
      <w:r w:rsidR="00D71A4C" w:rsidRPr="007B7A35">
        <w:rPr>
          <w:rFonts w:ascii="Times New Roman" w:hAnsi="Times New Roman"/>
          <w:sz w:val="22"/>
          <w:szCs w:val="22"/>
        </w:rPr>
        <w:t>framework contract enters into force and/or after the framework contract expires.</w:t>
      </w:r>
    </w:p>
    <w:p w14:paraId="0FBA9C31" w14:textId="25A551B2" w:rsidR="0047783A" w:rsidRPr="003D6B6C" w:rsidRDefault="0047783A" w:rsidP="000C21BC">
      <w:pPr>
        <w:spacing w:before="0"/>
        <w:jc w:val="both"/>
        <w:rPr>
          <w:rFonts w:ascii="Times New Roman" w:hAnsi="Times New Roman"/>
          <w:b/>
          <w:sz w:val="24"/>
          <w:szCs w:val="24"/>
        </w:rPr>
      </w:pPr>
      <w:r w:rsidRPr="003D6B6C">
        <w:rPr>
          <w:rFonts w:ascii="Times New Roman" w:hAnsi="Times New Roman"/>
          <w:b/>
          <w:sz w:val="24"/>
          <w:szCs w:val="24"/>
        </w:rPr>
        <w:t>Article 24</w:t>
      </w:r>
      <w:r w:rsidRPr="003D6B6C">
        <w:rPr>
          <w:rFonts w:ascii="Times New Roman" w:hAnsi="Times New Roman"/>
          <w:b/>
          <w:sz w:val="24"/>
          <w:szCs w:val="24"/>
        </w:rPr>
        <w:tab/>
        <w:t>Quality of supplies</w:t>
      </w:r>
      <w:bookmarkEnd w:id="13"/>
    </w:p>
    <w:p w14:paraId="0506BF5F" w14:textId="401FF4B7"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24.2</w:t>
      </w:r>
      <w:r w:rsidR="0047783A" w:rsidRPr="003D6B6C">
        <w:rPr>
          <w:rFonts w:ascii="Times New Roman" w:hAnsi="Times New Roman"/>
          <w:sz w:val="22"/>
          <w:szCs w:val="22"/>
        </w:rPr>
        <w:tab/>
      </w:r>
      <w:r w:rsidR="00D71A4C" w:rsidRPr="00D71A4C">
        <w:rPr>
          <w:rFonts w:ascii="Times New Roman" w:hAnsi="Times New Roman"/>
          <w:sz w:val="22"/>
          <w:szCs w:val="22"/>
        </w:rPr>
        <w:t>No preliminary technical acceptance is required.</w:t>
      </w:r>
    </w:p>
    <w:p w14:paraId="6EE8627F" w14:textId="77777777" w:rsidR="0047783A" w:rsidRPr="003D6B6C" w:rsidRDefault="0047783A" w:rsidP="00B34179">
      <w:pPr>
        <w:spacing w:before="240"/>
        <w:ind w:left="1134" w:hanging="1134"/>
        <w:jc w:val="both"/>
        <w:rPr>
          <w:rFonts w:ascii="Times New Roman" w:hAnsi="Times New Roman"/>
          <w:b/>
          <w:sz w:val="24"/>
          <w:szCs w:val="24"/>
        </w:rPr>
      </w:pPr>
      <w:bookmarkStart w:id="14" w:name="_Toc124934911"/>
      <w:r w:rsidRPr="003D6B6C">
        <w:rPr>
          <w:rFonts w:ascii="Times New Roman" w:hAnsi="Times New Roman"/>
          <w:b/>
          <w:sz w:val="24"/>
          <w:szCs w:val="24"/>
        </w:rPr>
        <w:t>Article 25</w:t>
      </w:r>
      <w:r w:rsidRPr="003D6B6C">
        <w:rPr>
          <w:rFonts w:ascii="Times New Roman" w:hAnsi="Times New Roman"/>
          <w:b/>
          <w:sz w:val="24"/>
          <w:szCs w:val="24"/>
        </w:rPr>
        <w:tab/>
        <w:t>Inspection and testing</w:t>
      </w:r>
      <w:bookmarkEnd w:id="14"/>
    </w:p>
    <w:p w14:paraId="64178ACF" w14:textId="49B5FB77" w:rsidR="0047783A" w:rsidRDefault="005B0129" w:rsidP="005D03AA">
      <w:pPr>
        <w:ind w:left="1134" w:hanging="709"/>
        <w:jc w:val="both"/>
        <w:rPr>
          <w:rFonts w:ascii="Times New Roman" w:hAnsi="Times New Roman"/>
          <w:bCs/>
          <w:sz w:val="22"/>
          <w:szCs w:val="22"/>
        </w:rPr>
      </w:pPr>
      <w:r w:rsidRPr="003D6B6C">
        <w:rPr>
          <w:rFonts w:ascii="Times New Roman" w:hAnsi="Times New Roman"/>
          <w:bCs/>
          <w:sz w:val="22"/>
          <w:szCs w:val="22"/>
        </w:rPr>
        <w:t>25.2</w:t>
      </w:r>
      <w:r w:rsidRPr="003D6B6C">
        <w:rPr>
          <w:rFonts w:ascii="Times New Roman" w:hAnsi="Times New Roman"/>
          <w:bCs/>
          <w:sz w:val="22"/>
          <w:szCs w:val="22"/>
        </w:rPr>
        <w:tab/>
      </w:r>
      <w:r w:rsidR="00D71A4C" w:rsidRPr="00D71A4C">
        <w:rPr>
          <w:rFonts w:ascii="Times New Roman" w:hAnsi="Times New Roman"/>
          <w:bCs/>
          <w:sz w:val="22"/>
          <w:szCs w:val="22"/>
        </w:rPr>
        <w:t>Inspection will take place upon installation at respective location in accordance with Annex II + III of the Contract and Article 25 of the General Conditions.</w:t>
      </w:r>
    </w:p>
    <w:p w14:paraId="0D3AA374" w14:textId="77777777" w:rsidR="00430776" w:rsidRPr="003D6B6C" w:rsidRDefault="00430776" w:rsidP="005D03AA">
      <w:pPr>
        <w:ind w:left="1134" w:hanging="709"/>
        <w:jc w:val="both"/>
        <w:rPr>
          <w:rFonts w:ascii="Times New Roman" w:hAnsi="Times New Roman"/>
          <w:b/>
          <w:sz w:val="22"/>
          <w:szCs w:val="22"/>
        </w:rPr>
      </w:pPr>
    </w:p>
    <w:p w14:paraId="76351DF5" w14:textId="16927121" w:rsidR="0047783A" w:rsidRPr="003D6B6C" w:rsidRDefault="0047783A" w:rsidP="00B34179">
      <w:pPr>
        <w:spacing w:before="240"/>
        <w:ind w:left="1134" w:hanging="1134"/>
        <w:jc w:val="both"/>
        <w:rPr>
          <w:rFonts w:ascii="Times New Roman" w:hAnsi="Times New Roman"/>
          <w:b/>
          <w:sz w:val="24"/>
          <w:szCs w:val="24"/>
        </w:rPr>
      </w:pPr>
      <w:bookmarkStart w:id="15" w:name="_Toc124934912"/>
      <w:r w:rsidRPr="003D6B6C">
        <w:rPr>
          <w:rFonts w:ascii="Times New Roman" w:hAnsi="Times New Roman"/>
          <w:b/>
          <w:sz w:val="24"/>
          <w:szCs w:val="24"/>
        </w:rPr>
        <w:lastRenderedPageBreak/>
        <w:t>Article 26</w:t>
      </w:r>
      <w:r w:rsidRPr="003D6B6C">
        <w:rPr>
          <w:rFonts w:ascii="Times New Roman" w:hAnsi="Times New Roman"/>
          <w:b/>
          <w:sz w:val="24"/>
          <w:szCs w:val="24"/>
        </w:rPr>
        <w:tab/>
      </w:r>
      <w:bookmarkEnd w:id="15"/>
      <w:r w:rsidR="005B0129" w:rsidRPr="003D6B6C">
        <w:rPr>
          <w:rFonts w:ascii="Times New Roman" w:hAnsi="Times New Roman"/>
          <w:b/>
          <w:sz w:val="24"/>
          <w:szCs w:val="24"/>
        </w:rPr>
        <w:t>General principles</w:t>
      </w:r>
    </w:p>
    <w:p w14:paraId="7BB3D5D2" w14:textId="77777777" w:rsidR="00D71A4C" w:rsidRPr="00C50C60" w:rsidRDefault="00D71A4C" w:rsidP="00D71A4C">
      <w:pPr>
        <w:tabs>
          <w:tab w:val="right" w:pos="9885"/>
        </w:tabs>
        <w:ind w:left="1134" w:hanging="709"/>
        <w:jc w:val="both"/>
        <w:rPr>
          <w:rFonts w:ascii="Times New Roman" w:hAnsi="Times New Roman"/>
          <w:sz w:val="22"/>
          <w:szCs w:val="22"/>
        </w:rPr>
      </w:pPr>
      <w:bookmarkStart w:id="16" w:name="_Toc124934913"/>
      <w:r w:rsidRPr="00C50C60">
        <w:rPr>
          <w:rFonts w:ascii="Times New Roman" w:hAnsi="Times New Roman"/>
          <w:sz w:val="22"/>
          <w:szCs w:val="22"/>
        </w:rPr>
        <w:t>26.1</w:t>
      </w:r>
      <w:r w:rsidRPr="00C50C60">
        <w:rPr>
          <w:rFonts w:ascii="Times New Roman" w:hAnsi="Times New Roman"/>
          <w:sz w:val="22"/>
          <w:szCs w:val="22"/>
        </w:rPr>
        <w:tab/>
        <w:t xml:space="preserve">Payments shall be made in </w:t>
      </w:r>
      <w:r>
        <w:rPr>
          <w:rFonts w:ascii="Times New Roman" w:hAnsi="Times New Roman"/>
          <w:sz w:val="22"/>
          <w:szCs w:val="22"/>
        </w:rPr>
        <w:t>E</w:t>
      </w:r>
      <w:r w:rsidRPr="00C50C60">
        <w:rPr>
          <w:rFonts w:ascii="Times New Roman" w:hAnsi="Times New Roman"/>
          <w:sz w:val="22"/>
          <w:szCs w:val="22"/>
        </w:rPr>
        <w:t>uros.</w:t>
      </w:r>
    </w:p>
    <w:p w14:paraId="3D1EC7F5" w14:textId="77777777" w:rsidR="00D71A4C" w:rsidRDefault="00D71A4C" w:rsidP="00D71A4C">
      <w:pPr>
        <w:tabs>
          <w:tab w:val="left" w:pos="1134"/>
        </w:tabs>
        <w:ind w:left="1134" w:hanging="1134"/>
        <w:jc w:val="both"/>
        <w:rPr>
          <w:rFonts w:ascii="Times New Roman" w:hAnsi="Times New Roman"/>
          <w:sz w:val="22"/>
          <w:szCs w:val="22"/>
        </w:rPr>
      </w:pPr>
      <w:r>
        <w:rPr>
          <w:rFonts w:ascii="Times New Roman" w:hAnsi="Times New Roman"/>
          <w:sz w:val="22"/>
          <w:szCs w:val="22"/>
        </w:rPr>
        <w:tab/>
      </w:r>
      <w:r w:rsidRPr="00D32BAB">
        <w:rPr>
          <w:rFonts w:ascii="Times New Roman" w:hAnsi="Times New Roman"/>
          <w:sz w:val="22"/>
          <w:szCs w:val="22"/>
        </w:rPr>
        <w:t xml:space="preserve">Payments shall be authorised and made by the Contracting Authority. </w:t>
      </w:r>
    </w:p>
    <w:p w14:paraId="60E9E6C8" w14:textId="77777777" w:rsidR="00D71A4C" w:rsidRPr="00FF735C" w:rsidRDefault="00D71A4C" w:rsidP="00D71A4C">
      <w:pPr>
        <w:tabs>
          <w:tab w:val="left" w:pos="851"/>
          <w:tab w:val="left" w:pos="1134"/>
        </w:tabs>
        <w:ind w:left="1134" w:hanging="1134"/>
        <w:jc w:val="both"/>
        <w:rPr>
          <w:rFonts w:ascii="Times New Roman" w:hAnsi="Times New Roman"/>
          <w:sz w:val="22"/>
          <w:szCs w:val="22"/>
          <w:lang w:val="en-US"/>
        </w:rPr>
      </w:pPr>
      <w:r>
        <w:rPr>
          <w:rFonts w:ascii="Times New Roman" w:hAnsi="Times New Roman"/>
          <w:sz w:val="22"/>
          <w:szCs w:val="22"/>
          <w:lang w:val="en-US"/>
        </w:rPr>
        <w:tab/>
      </w:r>
      <w:r>
        <w:rPr>
          <w:rFonts w:ascii="Times New Roman" w:hAnsi="Times New Roman"/>
          <w:sz w:val="22"/>
          <w:szCs w:val="22"/>
          <w:lang w:val="en-US"/>
        </w:rPr>
        <w:tab/>
        <w:t xml:space="preserve">Request for payments or pre-financing shall be made only on the basis of the amount value of a valid </w:t>
      </w:r>
      <w:r w:rsidRPr="004E73C8">
        <w:rPr>
          <w:rFonts w:ascii="Times New Roman" w:hAnsi="Times New Roman"/>
          <w:sz w:val="22"/>
          <w:szCs w:val="22"/>
        </w:rPr>
        <w:t>Order</w:t>
      </w:r>
      <w:r>
        <w:rPr>
          <w:rFonts w:ascii="Times New Roman" w:hAnsi="Times New Roman"/>
          <w:sz w:val="22"/>
          <w:szCs w:val="22"/>
        </w:rPr>
        <w:t xml:space="preserve"> Form</w:t>
      </w:r>
      <w:r w:rsidRPr="004E73C8">
        <w:rPr>
          <w:rFonts w:ascii="Times New Roman" w:hAnsi="Times New Roman"/>
          <w:sz w:val="22"/>
          <w:szCs w:val="22"/>
        </w:rPr>
        <w:t xml:space="preserve"> </w:t>
      </w:r>
      <w:r>
        <w:rPr>
          <w:rFonts w:ascii="Times New Roman" w:hAnsi="Times New Roman"/>
          <w:sz w:val="22"/>
          <w:szCs w:val="22"/>
          <w:lang w:val="en-US"/>
        </w:rPr>
        <w:t>issued by the Contracting Authority.</w:t>
      </w:r>
    </w:p>
    <w:p w14:paraId="08476C43" w14:textId="77777777" w:rsidR="00D71A4C" w:rsidRPr="004B6FD5" w:rsidRDefault="00D71A4C" w:rsidP="00D71A4C">
      <w:pPr>
        <w:tabs>
          <w:tab w:val="right" w:pos="9885"/>
        </w:tabs>
        <w:ind w:left="1134" w:hanging="709"/>
        <w:jc w:val="both"/>
        <w:rPr>
          <w:rFonts w:ascii="Times New Roman" w:hAnsi="Times New Roman"/>
          <w:sz w:val="22"/>
          <w:szCs w:val="22"/>
        </w:rPr>
      </w:pPr>
      <w:r w:rsidRPr="00343A5B">
        <w:rPr>
          <w:rFonts w:ascii="Times New Roman" w:hAnsi="Times New Roman"/>
          <w:sz w:val="22"/>
          <w:szCs w:val="22"/>
        </w:rPr>
        <w:t>26.</w:t>
      </w:r>
      <w:r>
        <w:rPr>
          <w:rFonts w:ascii="Times New Roman" w:hAnsi="Times New Roman"/>
          <w:sz w:val="22"/>
          <w:szCs w:val="22"/>
        </w:rPr>
        <w:t>3</w:t>
      </w:r>
      <w:r w:rsidRPr="00343A5B">
        <w:rPr>
          <w:rFonts w:ascii="Times New Roman" w:hAnsi="Times New Roman"/>
          <w:b/>
          <w:sz w:val="22"/>
          <w:szCs w:val="22"/>
        </w:rPr>
        <w:tab/>
      </w:r>
      <w:r w:rsidRPr="00567CD0">
        <w:rPr>
          <w:rFonts w:ascii="Times New Roman" w:hAnsi="Times New Roman"/>
          <w:sz w:val="22"/>
          <w:szCs w:val="22"/>
        </w:rPr>
        <w:t xml:space="preserve">By derogation, the final payment to the contractor of the amounts due shall be made within 90 days after receipt by the </w:t>
      </w:r>
      <w:r>
        <w:rPr>
          <w:rFonts w:ascii="Times New Roman" w:hAnsi="Times New Roman"/>
          <w:sz w:val="22"/>
        </w:rPr>
        <w:t>C</w:t>
      </w:r>
      <w:r w:rsidRPr="00515419">
        <w:rPr>
          <w:rFonts w:ascii="Times New Roman" w:hAnsi="Times New Roman"/>
          <w:sz w:val="22"/>
        </w:rPr>
        <w:t xml:space="preserve">ontracting </w:t>
      </w:r>
      <w:r>
        <w:rPr>
          <w:rFonts w:ascii="Times New Roman" w:hAnsi="Times New Roman"/>
          <w:sz w:val="22"/>
        </w:rPr>
        <w:t>A</w:t>
      </w:r>
      <w:r w:rsidRPr="00515419">
        <w:rPr>
          <w:rFonts w:ascii="Times New Roman" w:hAnsi="Times New Roman"/>
          <w:sz w:val="22"/>
        </w:rPr>
        <w:t>uthority</w:t>
      </w:r>
      <w:r>
        <w:rPr>
          <w:rFonts w:ascii="Times New Roman" w:hAnsi="Times New Roman"/>
          <w:sz w:val="22"/>
        </w:rPr>
        <w:t xml:space="preserve"> </w:t>
      </w:r>
      <w:r w:rsidRPr="00567CD0">
        <w:rPr>
          <w:rFonts w:ascii="Times New Roman" w:hAnsi="Times New Roman"/>
          <w:sz w:val="22"/>
          <w:szCs w:val="22"/>
        </w:rPr>
        <w:t>of an invoice and of the application for the certifi</w:t>
      </w:r>
      <w:r>
        <w:rPr>
          <w:rFonts w:ascii="Times New Roman" w:hAnsi="Times New Roman"/>
          <w:sz w:val="22"/>
          <w:szCs w:val="22"/>
        </w:rPr>
        <w:t>cate of provisional acceptance.</w:t>
      </w:r>
    </w:p>
    <w:p w14:paraId="37110581" w14:textId="77777777" w:rsidR="00D71A4C" w:rsidRPr="00D32BAB" w:rsidRDefault="00D71A4C" w:rsidP="00D71A4C">
      <w:pPr>
        <w:tabs>
          <w:tab w:val="left" w:pos="1134"/>
        </w:tabs>
        <w:ind w:left="1134" w:hanging="1134"/>
        <w:jc w:val="both"/>
        <w:rPr>
          <w:rFonts w:ascii="Times New Roman" w:hAnsi="Times New Roman"/>
          <w:sz w:val="22"/>
          <w:szCs w:val="22"/>
        </w:rPr>
      </w:pPr>
      <w:r>
        <w:rPr>
          <w:rFonts w:ascii="Times New Roman" w:hAnsi="Times New Roman"/>
          <w:sz w:val="22"/>
          <w:szCs w:val="22"/>
        </w:rPr>
        <w:t xml:space="preserve">       </w:t>
      </w:r>
      <w:r w:rsidRPr="00343A5B">
        <w:rPr>
          <w:rFonts w:ascii="Times New Roman" w:hAnsi="Times New Roman"/>
          <w:sz w:val="22"/>
          <w:szCs w:val="22"/>
        </w:rPr>
        <w:t>26.</w:t>
      </w:r>
      <w:r>
        <w:rPr>
          <w:rFonts w:ascii="Times New Roman" w:hAnsi="Times New Roman"/>
          <w:sz w:val="22"/>
          <w:szCs w:val="22"/>
        </w:rPr>
        <w:t>5</w:t>
      </w:r>
      <w:r w:rsidRPr="00343A5B">
        <w:rPr>
          <w:rFonts w:ascii="Times New Roman" w:hAnsi="Times New Roman"/>
          <w:b/>
          <w:sz w:val="22"/>
          <w:szCs w:val="22"/>
        </w:rPr>
        <w:tab/>
      </w:r>
      <w:r w:rsidRPr="00D32BAB">
        <w:rPr>
          <w:rFonts w:ascii="Times New Roman" w:hAnsi="Times New Roman"/>
          <w:sz w:val="22"/>
          <w:szCs w:val="22"/>
        </w:rPr>
        <w:t>In order to obtain payments, the Contractor must forward to the authority referred to in paragraph 26.1 above:</w:t>
      </w:r>
    </w:p>
    <w:p w14:paraId="230D046D" w14:textId="77777777" w:rsidR="00D71A4C" w:rsidRPr="00F54C5C" w:rsidRDefault="00D71A4C" w:rsidP="00D71A4C">
      <w:pPr>
        <w:tabs>
          <w:tab w:val="left" w:pos="1134"/>
        </w:tabs>
        <w:ind w:left="1134" w:hanging="1134"/>
        <w:jc w:val="both"/>
        <w:rPr>
          <w:rFonts w:ascii="Times New Roman" w:hAnsi="Times New Roman"/>
          <w:sz w:val="22"/>
          <w:szCs w:val="22"/>
        </w:rPr>
      </w:pPr>
      <w:r>
        <w:rPr>
          <w:rFonts w:ascii="Times New Roman" w:hAnsi="Times New Roman"/>
          <w:b/>
          <w:sz w:val="22"/>
          <w:szCs w:val="22"/>
        </w:rPr>
        <w:tab/>
      </w:r>
      <w:r w:rsidRPr="00D32BAB">
        <w:rPr>
          <w:rFonts w:ascii="Times New Roman" w:hAnsi="Times New Roman"/>
          <w:b/>
          <w:sz w:val="22"/>
          <w:szCs w:val="22"/>
        </w:rPr>
        <w:t>a)</w:t>
      </w:r>
      <w:r>
        <w:rPr>
          <w:rFonts w:ascii="Times New Roman" w:hAnsi="Times New Roman"/>
          <w:sz w:val="22"/>
          <w:szCs w:val="22"/>
        </w:rPr>
        <w:t xml:space="preserve"> </w:t>
      </w:r>
      <w:r w:rsidRPr="003A783A">
        <w:rPr>
          <w:rFonts w:ascii="Times New Roman" w:hAnsi="Times New Roman"/>
          <w:sz w:val="22"/>
          <w:szCs w:val="22"/>
        </w:rPr>
        <w:t>For the 40% pre-financing, the pre-financing guarantee (</w:t>
      </w:r>
      <w:r w:rsidRPr="003A783A">
        <w:rPr>
          <w:rFonts w:ascii="Times New Roman" w:hAnsi="Times New Roman"/>
          <w:b/>
          <w:sz w:val="22"/>
          <w:szCs w:val="22"/>
        </w:rPr>
        <w:t>the contractor is not obliged to ask for pre-financing</w:t>
      </w:r>
      <w:r w:rsidRPr="003A783A">
        <w:rPr>
          <w:rFonts w:ascii="Times New Roman" w:hAnsi="Times New Roman"/>
          <w:sz w:val="22"/>
          <w:szCs w:val="22"/>
        </w:rPr>
        <w:t>). If a pre-financing is requested, the Contractor must provide also a performance guarantee as stipulated under Article 11</w:t>
      </w:r>
      <w:r>
        <w:rPr>
          <w:rFonts w:ascii="Times New Roman" w:hAnsi="Times New Roman"/>
          <w:sz w:val="22"/>
          <w:szCs w:val="22"/>
        </w:rPr>
        <w:t>.</w:t>
      </w:r>
    </w:p>
    <w:p w14:paraId="62714450" w14:textId="303885C2" w:rsidR="00D71A4C" w:rsidRDefault="00D71A4C" w:rsidP="00694C3A">
      <w:pPr>
        <w:spacing w:after="0"/>
        <w:ind w:left="1134"/>
        <w:jc w:val="both"/>
        <w:rPr>
          <w:rFonts w:ascii="Times New Roman" w:hAnsi="Times New Roman"/>
          <w:sz w:val="22"/>
          <w:szCs w:val="22"/>
        </w:rPr>
      </w:pPr>
      <w:r w:rsidRPr="00F54C5C">
        <w:rPr>
          <w:rFonts w:ascii="Times New Roman" w:hAnsi="Times New Roman"/>
          <w:b/>
          <w:sz w:val="22"/>
          <w:szCs w:val="22"/>
        </w:rPr>
        <w:t>b)</w:t>
      </w:r>
      <w:r w:rsidRPr="00F54C5C">
        <w:rPr>
          <w:rFonts w:ascii="Times New Roman" w:hAnsi="Times New Roman"/>
          <w:b/>
          <w:sz w:val="22"/>
          <w:szCs w:val="22"/>
        </w:rPr>
        <w:tab/>
      </w:r>
      <w:r w:rsidRPr="00F54C5C">
        <w:rPr>
          <w:rFonts w:ascii="Times New Roman" w:hAnsi="Times New Roman"/>
          <w:sz w:val="22"/>
          <w:szCs w:val="22"/>
        </w:rPr>
        <w:t>For the 60</w:t>
      </w:r>
      <w:r w:rsidRPr="00F54C5C">
        <w:rPr>
          <w:rFonts w:ascii="Times New Roman" w:hAnsi="Times New Roman"/>
          <w:w w:val="50"/>
          <w:sz w:val="22"/>
          <w:szCs w:val="22"/>
        </w:rPr>
        <w:t> </w:t>
      </w:r>
      <w:r w:rsidRPr="00F54C5C">
        <w:rPr>
          <w:rFonts w:ascii="Times New Roman" w:hAnsi="Times New Roman"/>
          <w:sz w:val="22"/>
          <w:szCs w:val="22"/>
        </w:rPr>
        <w:t>% balance</w:t>
      </w:r>
      <w:r>
        <w:rPr>
          <w:rFonts w:ascii="Times New Roman" w:hAnsi="Times New Roman"/>
          <w:sz w:val="22"/>
          <w:szCs w:val="22"/>
        </w:rPr>
        <w:t xml:space="preserve"> or f</w:t>
      </w:r>
      <w:r w:rsidRPr="00FF735C">
        <w:rPr>
          <w:rFonts w:ascii="Times New Roman" w:hAnsi="Times New Roman"/>
          <w:sz w:val="22"/>
          <w:szCs w:val="22"/>
        </w:rPr>
        <w:t>or the 100 % balance</w:t>
      </w:r>
      <w:r w:rsidRPr="00343A5B">
        <w:rPr>
          <w:rFonts w:ascii="Times New Roman" w:hAnsi="Times New Roman"/>
          <w:sz w:val="22"/>
          <w:szCs w:val="22"/>
        </w:rPr>
        <w:t xml:space="preserve">, the invoice(s) </w:t>
      </w:r>
      <w:r w:rsidRPr="002B369D">
        <w:rPr>
          <w:rFonts w:ascii="Times New Roman" w:hAnsi="Times New Roman"/>
          <w:sz w:val="22"/>
          <w:szCs w:val="22"/>
        </w:rPr>
        <w:t>in triplicate</w:t>
      </w:r>
      <w:r w:rsidRPr="00343A5B">
        <w:rPr>
          <w:rFonts w:ascii="Times New Roman" w:hAnsi="Times New Roman"/>
          <w:sz w:val="22"/>
          <w:szCs w:val="22"/>
        </w:rPr>
        <w:t xml:space="preserve"> together with the request for provisional acceptance of the supplies.</w:t>
      </w:r>
    </w:p>
    <w:p w14:paraId="2E5696E4" w14:textId="77777777" w:rsidR="00D71A4C" w:rsidRPr="00437F94" w:rsidRDefault="00D71A4C" w:rsidP="00D71A4C">
      <w:pPr>
        <w:jc w:val="both"/>
        <w:rPr>
          <w:rFonts w:ascii="Times New Roman" w:hAnsi="Times New Roman"/>
          <w:sz w:val="22"/>
          <w:szCs w:val="22"/>
          <w:lang w:val="en-US"/>
        </w:rPr>
      </w:pPr>
      <w:r>
        <w:rPr>
          <w:rFonts w:ascii="Times New Roman" w:hAnsi="Times New Roman"/>
          <w:sz w:val="22"/>
          <w:szCs w:val="22"/>
        </w:rPr>
        <w:t xml:space="preserve"> </w:t>
      </w:r>
      <w:r w:rsidRPr="00437F94">
        <w:rPr>
          <w:rFonts w:ascii="Times New Roman" w:hAnsi="Times New Roman"/>
          <w:sz w:val="22"/>
          <w:szCs w:val="22"/>
          <w:lang w:val="en-US"/>
        </w:rPr>
        <w:t>26.9</w:t>
      </w:r>
      <w:r>
        <w:rPr>
          <w:rFonts w:ascii="Times New Roman" w:hAnsi="Times New Roman"/>
          <w:sz w:val="22"/>
          <w:szCs w:val="22"/>
          <w:lang w:val="en-US"/>
        </w:rPr>
        <w:t xml:space="preserve">            </w:t>
      </w:r>
      <w:r w:rsidRPr="00437F94">
        <w:rPr>
          <w:rFonts w:ascii="Times New Roman" w:hAnsi="Times New Roman"/>
          <w:sz w:val="22"/>
          <w:szCs w:val="22"/>
          <w:lang w:val="en-US"/>
        </w:rPr>
        <w:t>Prices are fixed and not subject to revision during the first year of the framework contract.</w:t>
      </w:r>
    </w:p>
    <w:p w14:paraId="4AE77CE6" w14:textId="77777777" w:rsidR="00D71A4C" w:rsidRPr="00437F94" w:rsidRDefault="00D71A4C" w:rsidP="00D71A4C">
      <w:pPr>
        <w:spacing w:before="0" w:after="160" w:line="259" w:lineRule="auto"/>
        <w:jc w:val="both"/>
        <w:rPr>
          <w:rFonts w:ascii="Times New Roman" w:hAnsi="Times New Roman"/>
          <w:sz w:val="22"/>
          <w:szCs w:val="22"/>
          <w:lang w:val="en-US"/>
        </w:rPr>
      </w:pPr>
      <w:r w:rsidRPr="00437F94">
        <w:rPr>
          <w:rFonts w:ascii="Times New Roman" w:hAnsi="Times New Roman"/>
          <w:sz w:val="22"/>
          <w:szCs w:val="22"/>
          <w:lang w:val="en-US"/>
        </w:rPr>
        <w:t>At the beginning of the second and every following year of the framework contract, each price may be revised upwards or downwards at the request of one of the Parties.</w:t>
      </w:r>
    </w:p>
    <w:p w14:paraId="2DAF55C1" w14:textId="77777777" w:rsidR="00D71A4C" w:rsidRPr="00437F94" w:rsidRDefault="00D71A4C" w:rsidP="00D71A4C">
      <w:pPr>
        <w:spacing w:before="0" w:after="160" w:line="259" w:lineRule="auto"/>
        <w:jc w:val="both"/>
        <w:rPr>
          <w:rFonts w:ascii="Times New Roman" w:hAnsi="Times New Roman"/>
          <w:sz w:val="22"/>
          <w:szCs w:val="22"/>
          <w:lang w:val="en-US"/>
        </w:rPr>
      </w:pPr>
      <w:r w:rsidRPr="00437F94">
        <w:rPr>
          <w:rFonts w:ascii="Times New Roman" w:hAnsi="Times New Roman"/>
          <w:sz w:val="22"/>
          <w:szCs w:val="22"/>
          <w:lang w:val="en-US"/>
        </w:rPr>
        <w:t xml:space="preserve">Either Party may request a price revision in writing no later than three months before the anniversary date of entry into force of the framework contract. The other Party must acknowledge the request within 14 days of receipt. </w:t>
      </w:r>
    </w:p>
    <w:p w14:paraId="3A798A8E" w14:textId="77777777" w:rsidR="00D71A4C" w:rsidRPr="00437F94" w:rsidRDefault="00D71A4C" w:rsidP="00D71A4C">
      <w:pPr>
        <w:spacing w:before="0" w:after="160" w:line="259" w:lineRule="auto"/>
        <w:jc w:val="both"/>
        <w:rPr>
          <w:rFonts w:ascii="Times New Roman" w:hAnsi="Times New Roman"/>
          <w:sz w:val="22"/>
          <w:szCs w:val="22"/>
          <w:lang w:val="en-US"/>
        </w:rPr>
      </w:pPr>
      <w:r w:rsidRPr="00437F94">
        <w:rPr>
          <w:rFonts w:ascii="Times New Roman" w:hAnsi="Times New Roman"/>
          <w:sz w:val="22"/>
          <w:szCs w:val="22"/>
          <w:lang w:val="en-US"/>
        </w:rPr>
        <w:t xml:space="preserve">At the anniversary date, the Contracting Authority must communicate the final index for the month in which the request was received, or failing that, the last provisional index available for that month. The contractor establishes the new price on this basis and communicates it as soon as possible to the Contracting Authority for verification. </w:t>
      </w:r>
    </w:p>
    <w:p w14:paraId="63C54153" w14:textId="77777777" w:rsidR="00D71A4C" w:rsidRPr="00437F94" w:rsidRDefault="00D71A4C" w:rsidP="00D71A4C">
      <w:pPr>
        <w:spacing w:before="0" w:after="160" w:line="259" w:lineRule="auto"/>
        <w:jc w:val="both"/>
        <w:rPr>
          <w:rFonts w:ascii="Times New Roman" w:hAnsi="Times New Roman"/>
          <w:sz w:val="22"/>
          <w:szCs w:val="22"/>
          <w:lang w:val="en-US"/>
        </w:rPr>
      </w:pPr>
      <w:r w:rsidRPr="00437F94">
        <w:rPr>
          <w:rFonts w:ascii="Times New Roman" w:hAnsi="Times New Roman"/>
          <w:sz w:val="22"/>
          <w:szCs w:val="22"/>
          <w:lang w:val="en-US"/>
        </w:rPr>
        <w:t xml:space="preserve">The Contracting Authority purchases based on the prices in force at the date on which the specific contract enters into force. </w:t>
      </w:r>
    </w:p>
    <w:p w14:paraId="216801E5" w14:textId="77777777" w:rsidR="00D71A4C" w:rsidRPr="00437F94" w:rsidRDefault="00D71A4C" w:rsidP="00D71A4C">
      <w:pPr>
        <w:spacing w:before="0" w:after="160" w:line="259" w:lineRule="auto"/>
        <w:jc w:val="both"/>
        <w:rPr>
          <w:rFonts w:ascii="Times New Roman" w:hAnsi="Times New Roman"/>
          <w:sz w:val="22"/>
          <w:szCs w:val="22"/>
          <w:lang w:val="en-US"/>
        </w:rPr>
      </w:pPr>
      <w:r w:rsidRPr="00437F94">
        <w:rPr>
          <w:rFonts w:ascii="Times New Roman" w:hAnsi="Times New Roman"/>
          <w:sz w:val="22"/>
          <w:szCs w:val="22"/>
          <w:lang w:val="en-US"/>
        </w:rPr>
        <w:t>The price revision is calculated using the following formula:</w:t>
      </w:r>
    </w:p>
    <w:p w14:paraId="3832EF0D" w14:textId="657393A3" w:rsidR="00D71A4C" w:rsidRPr="00430776" w:rsidRDefault="00D71A4C" w:rsidP="00D71A4C">
      <w:pPr>
        <w:tabs>
          <w:tab w:val="left" w:pos="3402"/>
        </w:tabs>
        <w:spacing w:before="0" w:after="160" w:line="259" w:lineRule="auto"/>
        <w:ind w:left="1701" w:hanging="1701"/>
        <w:jc w:val="both"/>
        <w:rPr>
          <w:rFonts w:ascii="Times New Roman" w:hAnsi="Times New Roman"/>
          <w:sz w:val="22"/>
          <w:szCs w:val="22"/>
          <w:lang w:val="pt-BR"/>
        </w:rPr>
      </w:pPr>
      <w:r w:rsidRPr="00430776">
        <w:rPr>
          <w:rFonts w:ascii="Times New Roman" w:hAnsi="Times New Roman"/>
          <w:sz w:val="22"/>
          <w:szCs w:val="22"/>
          <w:lang w:val="pt-BR"/>
        </w:rPr>
        <w:t>Pr = Po x (</w:t>
      </w:r>
      <w:r w:rsidR="00430776" w:rsidRPr="00430776">
        <w:rPr>
          <w:rFonts w:ascii="Times New Roman" w:hAnsi="Times New Roman"/>
          <w:sz w:val="22"/>
          <w:szCs w:val="22"/>
          <w:lang w:val="pt-BR"/>
        </w:rPr>
        <w:t>Ir / Io</w:t>
      </w:r>
      <w:r w:rsidRPr="00430776">
        <w:rPr>
          <w:rFonts w:ascii="Times New Roman" w:hAnsi="Times New Roman"/>
          <w:sz w:val="22"/>
          <w:szCs w:val="22"/>
          <w:lang w:val="pt-BR"/>
        </w:rPr>
        <w:t>)</w:t>
      </w:r>
    </w:p>
    <w:p w14:paraId="2E661B89" w14:textId="77777777" w:rsidR="00D71A4C" w:rsidRPr="00437F94" w:rsidRDefault="00D71A4C" w:rsidP="00D71A4C">
      <w:pPr>
        <w:tabs>
          <w:tab w:val="left" w:pos="-1440"/>
          <w:tab w:val="left" w:pos="-720"/>
        </w:tabs>
        <w:suppressAutoHyphens/>
        <w:spacing w:before="0" w:after="160" w:line="259" w:lineRule="auto"/>
        <w:ind w:left="1418" w:hanging="1418"/>
        <w:jc w:val="both"/>
        <w:rPr>
          <w:rFonts w:ascii="Times New Roman" w:hAnsi="Times New Roman"/>
          <w:sz w:val="22"/>
          <w:szCs w:val="22"/>
          <w:lang w:val="en-US"/>
        </w:rPr>
      </w:pPr>
      <w:r w:rsidRPr="00437F94">
        <w:rPr>
          <w:rFonts w:ascii="Times New Roman" w:hAnsi="Times New Roman"/>
          <w:sz w:val="22"/>
          <w:szCs w:val="22"/>
          <w:lang w:val="en-US"/>
        </w:rPr>
        <w:t>where:</w:t>
      </w:r>
      <w:r w:rsidRPr="00437F94">
        <w:rPr>
          <w:rFonts w:ascii="Times New Roman" w:hAnsi="Times New Roman"/>
          <w:sz w:val="22"/>
          <w:szCs w:val="22"/>
          <w:lang w:val="en-US"/>
        </w:rPr>
        <w:tab/>
      </w:r>
      <w:proofErr w:type="spellStart"/>
      <w:r w:rsidRPr="00437F94">
        <w:rPr>
          <w:rFonts w:ascii="Times New Roman" w:hAnsi="Times New Roman"/>
          <w:sz w:val="22"/>
          <w:szCs w:val="22"/>
          <w:lang w:val="en-US"/>
        </w:rPr>
        <w:t>Pr</w:t>
      </w:r>
      <w:proofErr w:type="spellEnd"/>
      <w:r w:rsidRPr="00437F94">
        <w:rPr>
          <w:rFonts w:ascii="Times New Roman" w:hAnsi="Times New Roman"/>
          <w:sz w:val="22"/>
          <w:szCs w:val="22"/>
          <w:lang w:val="en-US"/>
        </w:rPr>
        <w:t xml:space="preserve"> = revised price;</w:t>
      </w:r>
    </w:p>
    <w:p w14:paraId="1E3B2991" w14:textId="77777777" w:rsidR="00D71A4C" w:rsidRPr="00437F94" w:rsidRDefault="00D71A4C" w:rsidP="00D71A4C">
      <w:pPr>
        <w:suppressAutoHyphens/>
        <w:spacing w:before="0" w:after="160" w:line="259" w:lineRule="auto"/>
        <w:ind w:left="1418" w:hanging="1418"/>
        <w:jc w:val="both"/>
        <w:rPr>
          <w:rFonts w:ascii="Times New Roman" w:hAnsi="Times New Roman"/>
          <w:sz w:val="22"/>
          <w:szCs w:val="22"/>
          <w:lang w:val="en-US"/>
        </w:rPr>
      </w:pPr>
      <w:r w:rsidRPr="00437F94">
        <w:rPr>
          <w:rFonts w:ascii="Times New Roman" w:hAnsi="Times New Roman"/>
          <w:sz w:val="22"/>
          <w:szCs w:val="22"/>
          <w:lang w:val="en-US"/>
        </w:rPr>
        <w:tab/>
        <w:t>Po = price in the tender;</w:t>
      </w:r>
    </w:p>
    <w:p w14:paraId="5EB66E80" w14:textId="77777777" w:rsidR="00D71A4C" w:rsidRPr="00437F94" w:rsidRDefault="00D71A4C" w:rsidP="00D71A4C">
      <w:pPr>
        <w:suppressAutoHyphens/>
        <w:spacing w:before="0" w:after="160" w:line="259" w:lineRule="auto"/>
        <w:ind w:left="1418" w:hanging="1418"/>
        <w:jc w:val="both"/>
        <w:rPr>
          <w:rFonts w:ascii="Times New Roman" w:hAnsi="Times New Roman"/>
          <w:sz w:val="22"/>
          <w:szCs w:val="22"/>
          <w:lang w:val="en-US"/>
        </w:rPr>
      </w:pPr>
      <w:r w:rsidRPr="00437F94">
        <w:rPr>
          <w:rFonts w:ascii="Times New Roman" w:hAnsi="Times New Roman"/>
          <w:sz w:val="22"/>
          <w:szCs w:val="22"/>
          <w:lang w:val="en-US"/>
        </w:rPr>
        <w:tab/>
        <w:t>Io = index for the month in which the framework contract enters into force;</w:t>
      </w:r>
    </w:p>
    <w:p w14:paraId="17BA01A3" w14:textId="77777777" w:rsidR="00D71A4C" w:rsidRDefault="00D71A4C" w:rsidP="00D71A4C">
      <w:pPr>
        <w:suppressAutoHyphens/>
        <w:spacing w:before="0" w:after="160" w:line="259" w:lineRule="auto"/>
        <w:ind w:left="1418" w:hanging="1418"/>
        <w:jc w:val="both"/>
        <w:rPr>
          <w:rFonts w:ascii="Times New Roman" w:hAnsi="Times New Roman"/>
          <w:sz w:val="22"/>
          <w:szCs w:val="22"/>
          <w:lang w:val="en-US"/>
        </w:rPr>
      </w:pPr>
      <w:r w:rsidRPr="00437F94">
        <w:rPr>
          <w:rFonts w:ascii="Times New Roman" w:hAnsi="Times New Roman"/>
          <w:sz w:val="22"/>
          <w:szCs w:val="22"/>
          <w:lang w:val="en-US"/>
        </w:rPr>
        <w:tab/>
      </w:r>
      <w:proofErr w:type="spellStart"/>
      <w:r w:rsidRPr="00437F94">
        <w:rPr>
          <w:rFonts w:ascii="Times New Roman" w:hAnsi="Times New Roman"/>
          <w:sz w:val="22"/>
          <w:szCs w:val="22"/>
          <w:lang w:val="en-US"/>
        </w:rPr>
        <w:t>Ir</w:t>
      </w:r>
      <w:proofErr w:type="spellEnd"/>
      <w:r w:rsidRPr="00437F94">
        <w:rPr>
          <w:rFonts w:ascii="Times New Roman" w:hAnsi="Times New Roman"/>
          <w:sz w:val="22"/>
          <w:szCs w:val="22"/>
          <w:lang w:val="en-US"/>
        </w:rPr>
        <w:t xml:space="preserve"> = index for the month in which the request to revise prices is received.</w:t>
      </w:r>
    </w:p>
    <w:p w14:paraId="55DD9B96" w14:textId="77777777" w:rsidR="00D71A4C" w:rsidRDefault="00D71A4C" w:rsidP="00D71A4C">
      <w:pPr>
        <w:tabs>
          <w:tab w:val="left" w:pos="1134"/>
        </w:tabs>
        <w:ind w:left="1134" w:hanging="1134"/>
        <w:jc w:val="both"/>
        <w:rPr>
          <w:rFonts w:ascii="Times New Roman" w:hAnsi="Times New Roman"/>
          <w:sz w:val="22"/>
          <w:szCs w:val="22"/>
          <w:lang w:val="en-US"/>
        </w:rPr>
      </w:pPr>
      <w:r>
        <w:rPr>
          <w:rFonts w:ascii="Times New Roman" w:hAnsi="Times New Roman"/>
          <w:sz w:val="22"/>
          <w:szCs w:val="22"/>
          <w:lang w:val="en-US"/>
        </w:rPr>
        <w:t xml:space="preserve">                     Order Forms</w:t>
      </w:r>
      <w:r w:rsidRPr="00F96A10">
        <w:rPr>
          <w:rFonts w:ascii="Times New Roman" w:hAnsi="Times New Roman"/>
          <w:sz w:val="22"/>
          <w:szCs w:val="22"/>
          <w:lang w:val="en-US"/>
        </w:rPr>
        <w:t xml:space="preserve"> orders shall be placed on the basis of the prices in force on the date on which they are signed. Such prices shall not be subject to revision.</w:t>
      </w:r>
    </w:p>
    <w:p w14:paraId="67467E83" w14:textId="77777777" w:rsidR="000C21BC" w:rsidRDefault="000C21BC" w:rsidP="00D71A4C">
      <w:pPr>
        <w:tabs>
          <w:tab w:val="left" w:pos="1134"/>
        </w:tabs>
        <w:ind w:left="1134" w:hanging="1134"/>
        <w:jc w:val="both"/>
        <w:rPr>
          <w:rFonts w:ascii="Times New Roman" w:hAnsi="Times New Roman"/>
          <w:sz w:val="22"/>
          <w:szCs w:val="22"/>
          <w:lang w:val="en-US"/>
        </w:rPr>
      </w:pPr>
    </w:p>
    <w:p w14:paraId="210201A9" w14:textId="4F7A92A8" w:rsidR="0047783A" w:rsidRDefault="0047783A" w:rsidP="00B34179">
      <w:pPr>
        <w:spacing w:before="240"/>
        <w:ind w:left="1134" w:hanging="1134"/>
        <w:jc w:val="both"/>
        <w:rPr>
          <w:rFonts w:ascii="Times New Roman" w:hAnsi="Times New Roman"/>
          <w:b/>
          <w:sz w:val="24"/>
          <w:szCs w:val="24"/>
        </w:rPr>
      </w:pPr>
      <w:r w:rsidRPr="003D6B6C">
        <w:rPr>
          <w:rFonts w:ascii="Times New Roman" w:hAnsi="Times New Roman"/>
          <w:b/>
          <w:sz w:val="24"/>
          <w:szCs w:val="24"/>
        </w:rPr>
        <w:lastRenderedPageBreak/>
        <w:t>Article 29</w:t>
      </w:r>
      <w:r w:rsidRPr="003D6B6C">
        <w:rPr>
          <w:rFonts w:ascii="Times New Roman" w:hAnsi="Times New Roman"/>
          <w:b/>
          <w:sz w:val="24"/>
          <w:szCs w:val="24"/>
        </w:rPr>
        <w:tab/>
        <w:t>Delivery</w:t>
      </w:r>
      <w:bookmarkEnd w:id="16"/>
    </w:p>
    <w:p w14:paraId="2C5926D3" w14:textId="171833E8" w:rsidR="00BD1517" w:rsidRPr="003D6B6C" w:rsidRDefault="00BD1517" w:rsidP="00B34179">
      <w:pPr>
        <w:spacing w:before="240"/>
        <w:ind w:left="1134" w:hanging="1134"/>
        <w:jc w:val="both"/>
        <w:rPr>
          <w:rFonts w:ascii="Times New Roman" w:hAnsi="Times New Roman"/>
          <w:b/>
          <w:sz w:val="24"/>
          <w:szCs w:val="24"/>
        </w:rPr>
      </w:pPr>
      <w:r w:rsidRPr="00B5440B">
        <w:rPr>
          <w:rFonts w:ascii="Times New Roman" w:hAnsi="Times New Roman"/>
          <w:sz w:val="22"/>
          <w:szCs w:val="22"/>
        </w:rPr>
        <w:t xml:space="preserve">29.1 </w:t>
      </w:r>
      <w:r>
        <w:rPr>
          <w:rFonts w:ascii="Times New Roman" w:hAnsi="Times New Roman"/>
          <w:sz w:val="22"/>
          <w:szCs w:val="22"/>
        </w:rPr>
        <w:t>T</w:t>
      </w:r>
      <w:r w:rsidRPr="00BD1517">
        <w:rPr>
          <w:rFonts w:ascii="Times New Roman" w:hAnsi="Times New Roman"/>
          <w:sz w:val="22"/>
          <w:szCs w:val="22"/>
        </w:rPr>
        <w:t xml:space="preserve">he Incoterm applicable shall </w:t>
      </w:r>
      <w:r w:rsidRPr="00D71A4C">
        <w:rPr>
          <w:rFonts w:ascii="Times New Roman" w:hAnsi="Times New Roman"/>
          <w:sz w:val="22"/>
          <w:szCs w:val="22"/>
        </w:rPr>
        <w:t>be</w:t>
      </w:r>
      <w:r w:rsidR="00D71A4C" w:rsidRPr="00D71A4C">
        <w:rPr>
          <w:rFonts w:ascii="Times New Roman" w:hAnsi="Times New Roman"/>
          <w:sz w:val="22"/>
          <w:szCs w:val="22"/>
        </w:rPr>
        <w:t xml:space="preserve"> </w:t>
      </w:r>
      <w:r w:rsidRPr="00D71A4C">
        <w:rPr>
          <w:rFonts w:ascii="Times New Roman" w:hAnsi="Times New Roman"/>
          <w:sz w:val="22"/>
          <w:szCs w:val="22"/>
        </w:rPr>
        <w:t>DAP</w:t>
      </w:r>
      <w:r w:rsidRPr="00D71A4C">
        <w:rPr>
          <w:rFonts w:ascii="Times New Roman" w:hAnsi="Times New Roman"/>
          <w:sz w:val="22"/>
          <w:vertAlign w:val="superscript"/>
        </w:rPr>
        <w:footnoteReference w:id="2"/>
      </w:r>
    </w:p>
    <w:p w14:paraId="60EA6500" w14:textId="6884427E" w:rsidR="00D71A4C" w:rsidRDefault="0047783A" w:rsidP="00D71A4C">
      <w:pPr>
        <w:ind w:left="1320" w:hanging="1320"/>
        <w:jc w:val="both"/>
        <w:rPr>
          <w:rFonts w:ascii="Times New Roman" w:hAnsi="Times New Roman"/>
          <w:sz w:val="22"/>
          <w:szCs w:val="22"/>
          <w:lang w:val="en-US"/>
        </w:rPr>
      </w:pPr>
      <w:r w:rsidRPr="003D6B6C">
        <w:rPr>
          <w:rFonts w:ascii="Times New Roman" w:hAnsi="Times New Roman"/>
          <w:sz w:val="22"/>
          <w:szCs w:val="22"/>
        </w:rPr>
        <w:t>29.</w:t>
      </w:r>
      <w:r w:rsidR="005B0129" w:rsidRPr="003D6B6C">
        <w:rPr>
          <w:rFonts w:ascii="Times New Roman" w:hAnsi="Times New Roman"/>
          <w:sz w:val="22"/>
          <w:szCs w:val="22"/>
        </w:rPr>
        <w:t>3</w:t>
      </w:r>
      <w:r w:rsidR="00D71A4C">
        <w:rPr>
          <w:rFonts w:ascii="Times New Roman" w:hAnsi="Times New Roman"/>
          <w:b/>
          <w:sz w:val="22"/>
          <w:szCs w:val="22"/>
        </w:rPr>
        <w:t xml:space="preserve">               </w:t>
      </w:r>
      <w:r w:rsidR="00D71A4C" w:rsidRPr="001E6A90">
        <w:rPr>
          <w:rFonts w:ascii="Times New Roman" w:hAnsi="Times New Roman"/>
          <w:sz w:val="22"/>
          <w:szCs w:val="22"/>
          <w:lang w:val="en-US"/>
        </w:rPr>
        <w:t>The place of acceptance of the supplies shall be Main Warehouse EULEX Kosovo, and the Incoterm applicable shall be DAP (delivery at place).</w:t>
      </w:r>
    </w:p>
    <w:p w14:paraId="1B319B7A" w14:textId="77777777" w:rsidR="00D71A4C" w:rsidRDefault="00D71A4C" w:rsidP="00D71A4C">
      <w:pPr>
        <w:ind w:left="1320" w:hanging="1320"/>
        <w:jc w:val="both"/>
        <w:rPr>
          <w:rFonts w:ascii="Times New Roman" w:hAnsi="Times New Roman"/>
          <w:sz w:val="22"/>
          <w:szCs w:val="22"/>
          <w:lang w:val="en-US"/>
        </w:rPr>
      </w:pPr>
      <w:r>
        <w:rPr>
          <w:rFonts w:ascii="Times New Roman" w:hAnsi="Times New Roman"/>
          <w:sz w:val="22"/>
          <w:szCs w:val="22"/>
          <w:lang w:val="en-US"/>
        </w:rPr>
        <w:t xml:space="preserve">                     </w:t>
      </w:r>
      <w:r w:rsidRPr="001E6A90">
        <w:rPr>
          <w:rFonts w:ascii="Times New Roman" w:hAnsi="Times New Roman"/>
          <w:sz w:val="22"/>
          <w:szCs w:val="22"/>
          <w:lang w:val="en-US"/>
        </w:rPr>
        <w:t>The implementation shall run from the date of signature of the contract by both parties.</w:t>
      </w:r>
    </w:p>
    <w:p w14:paraId="59264F11" w14:textId="77777777" w:rsidR="00D71A4C" w:rsidRDefault="00D71A4C" w:rsidP="00D71A4C">
      <w:pPr>
        <w:ind w:left="1320" w:hanging="1320"/>
        <w:jc w:val="both"/>
        <w:rPr>
          <w:rFonts w:ascii="Times New Roman" w:hAnsi="Times New Roman"/>
          <w:sz w:val="22"/>
          <w:szCs w:val="22"/>
          <w:lang w:val="en-US"/>
        </w:rPr>
      </w:pPr>
      <w:r>
        <w:rPr>
          <w:rFonts w:ascii="Times New Roman" w:hAnsi="Times New Roman"/>
          <w:sz w:val="22"/>
          <w:szCs w:val="22"/>
          <w:lang w:val="en-US"/>
        </w:rPr>
        <w:t xml:space="preserve">                     </w:t>
      </w:r>
      <w:r w:rsidRPr="001E6A90">
        <w:rPr>
          <w:rFonts w:ascii="Times New Roman" w:hAnsi="Times New Roman"/>
          <w:sz w:val="22"/>
          <w:szCs w:val="22"/>
          <w:lang w:val="en-US"/>
        </w:rPr>
        <w:t xml:space="preserve">The   time limits for </w:t>
      </w:r>
      <w:r>
        <w:rPr>
          <w:rFonts w:ascii="Times New Roman" w:hAnsi="Times New Roman"/>
          <w:sz w:val="22"/>
          <w:szCs w:val="22"/>
          <w:lang w:val="en-US"/>
        </w:rPr>
        <w:t xml:space="preserve">the delivery of items shall be </w:t>
      </w:r>
      <w:r w:rsidRPr="001E6A90">
        <w:rPr>
          <w:rFonts w:ascii="Times New Roman" w:hAnsi="Times New Roman"/>
          <w:sz w:val="22"/>
          <w:szCs w:val="22"/>
          <w:lang w:val="en-US"/>
        </w:rPr>
        <w:t>within 60 calendar days from the</w:t>
      </w:r>
      <w:r>
        <w:rPr>
          <w:rFonts w:ascii="Times New Roman" w:hAnsi="Times New Roman"/>
          <w:sz w:val="22"/>
          <w:szCs w:val="22"/>
          <w:lang w:val="en-US"/>
        </w:rPr>
        <w:t xml:space="preserve"> date of the signature of an Order Form </w:t>
      </w:r>
      <w:r w:rsidRPr="001E6A90">
        <w:rPr>
          <w:rFonts w:ascii="Times New Roman" w:hAnsi="Times New Roman"/>
          <w:sz w:val="22"/>
          <w:szCs w:val="22"/>
          <w:lang w:val="en-US"/>
        </w:rPr>
        <w:t>by both parties.</w:t>
      </w:r>
    </w:p>
    <w:p w14:paraId="2DB41E69" w14:textId="77777777" w:rsidR="00D71A4C" w:rsidRDefault="00D71A4C" w:rsidP="00D71A4C">
      <w:pPr>
        <w:ind w:left="1134"/>
        <w:jc w:val="both"/>
        <w:rPr>
          <w:rFonts w:ascii="Times New Roman" w:hAnsi="Times New Roman"/>
          <w:sz w:val="22"/>
          <w:szCs w:val="22"/>
          <w:lang w:val="en-US"/>
        </w:rPr>
      </w:pPr>
      <w:r w:rsidRPr="001E6A90">
        <w:rPr>
          <w:rFonts w:ascii="Times New Roman" w:hAnsi="Times New Roman"/>
          <w:sz w:val="22"/>
          <w:szCs w:val="22"/>
          <w:lang w:val="en-US"/>
        </w:rPr>
        <w:t>The Contractor shall bear all risks relating to the goods until provisional acceptance at destination. The supplies shall be packaged so as to prevent their damage or deterioration in transit to their destination.</w:t>
      </w:r>
    </w:p>
    <w:p w14:paraId="71FF76D0" w14:textId="77777777" w:rsidR="00D71A4C" w:rsidRDefault="00D71A4C" w:rsidP="00D71A4C">
      <w:pPr>
        <w:ind w:left="1134"/>
        <w:jc w:val="both"/>
        <w:rPr>
          <w:rFonts w:ascii="Times New Roman" w:hAnsi="Times New Roman"/>
          <w:sz w:val="22"/>
          <w:szCs w:val="22"/>
          <w:lang w:val="en-US"/>
        </w:rPr>
      </w:pPr>
      <w:r w:rsidRPr="001E6A90">
        <w:rPr>
          <w:rFonts w:ascii="Times New Roman" w:hAnsi="Times New Roman"/>
          <w:sz w:val="22"/>
          <w:szCs w:val="22"/>
          <w:lang w:val="en-US"/>
        </w:rPr>
        <w:t>The delivery shall take place on a working day and during the normal working hours of EULEX Kosovo; the “working hour schedule” shall be accurately specified at the time of the signature of the contract.</w:t>
      </w:r>
    </w:p>
    <w:p w14:paraId="707DED24" w14:textId="77777777" w:rsidR="00D71A4C" w:rsidRDefault="00D71A4C" w:rsidP="00D71A4C">
      <w:pPr>
        <w:ind w:left="1134"/>
        <w:jc w:val="both"/>
        <w:rPr>
          <w:rFonts w:ascii="Times New Roman" w:hAnsi="Times New Roman"/>
          <w:sz w:val="22"/>
          <w:szCs w:val="22"/>
          <w:lang w:val="en-US"/>
        </w:rPr>
      </w:pPr>
      <w:r w:rsidRPr="001E6A90">
        <w:rPr>
          <w:rFonts w:ascii="Times New Roman" w:hAnsi="Times New Roman"/>
          <w:sz w:val="22"/>
          <w:szCs w:val="22"/>
          <w:lang w:val="en-US"/>
        </w:rPr>
        <w:t>The Contractor shall bear all risks relating to the goods until provisional acceptance at destination. The supplies shall be packaged so as to prevent their damage or deterioration in transit to their destination.</w:t>
      </w:r>
    </w:p>
    <w:p w14:paraId="29FF675B" w14:textId="77777777" w:rsidR="00D71A4C" w:rsidRDefault="00D71A4C" w:rsidP="00D71A4C">
      <w:pPr>
        <w:ind w:left="1134"/>
        <w:jc w:val="both"/>
        <w:rPr>
          <w:rFonts w:ascii="Times New Roman" w:hAnsi="Times New Roman"/>
          <w:sz w:val="22"/>
          <w:szCs w:val="22"/>
          <w:lang w:val="en-US"/>
        </w:rPr>
      </w:pPr>
      <w:r w:rsidRPr="001E6A90">
        <w:rPr>
          <w:rFonts w:ascii="Times New Roman" w:hAnsi="Times New Roman"/>
          <w:sz w:val="22"/>
          <w:szCs w:val="22"/>
          <w:lang w:val="en-US"/>
        </w:rPr>
        <w:t>The delivery shall take place on a working day and during the normal working hours of</w:t>
      </w:r>
      <w:r>
        <w:rPr>
          <w:rFonts w:ascii="Times New Roman" w:hAnsi="Times New Roman"/>
          <w:sz w:val="22"/>
          <w:szCs w:val="22"/>
          <w:lang w:val="en-US"/>
        </w:rPr>
        <w:t xml:space="preserve"> </w:t>
      </w:r>
      <w:r w:rsidRPr="001E6A90">
        <w:rPr>
          <w:rFonts w:ascii="Times New Roman" w:hAnsi="Times New Roman"/>
          <w:sz w:val="22"/>
          <w:szCs w:val="22"/>
          <w:lang w:val="en-US"/>
        </w:rPr>
        <w:t>EULEX Kosovo; the “working hour schedule” shall be accurately specified at the time of the signature of the contract.</w:t>
      </w:r>
    </w:p>
    <w:p w14:paraId="462CC97A" w14:textId="77777777" w:rsidR="00D71A4C" w:rsidRDefault="00D71A4C" w:rsidP="00D71A4C">
      <w:pPr>
        <w:ind w:left="1134"/>
        <w:jc w:val="both"/>
        <w:rPr>
          <w:rFonts w:ascii="Times New Roman" w:hAnsi="Times New Roman"/>
          <w:sz w:val="22"/>
          <w:szCs w:val="22"/>
          <w:lang w:val="en-US"/>
        </w:rPr>
      </w:pPr>
      <w:r w:rsidRPr="001E6A90">
        <w:rPr>
          <w:rFonts w:ascii="Times New Roman" w:hAnsi="Times New Roman"/>
          <w:sz w:val="22"/>
          <w:szCs w:val="22"/>
          <w:lang w:val="en-US"/>
        </w:rPr>
        <w:t>Use of Standard European “Euro-Pallets” and other mandatory requirements, where applicable.</w:t>
      </w:r>
    </w:p>
    <w:p w14:paraId="3F3A28BC" w14:textId="77777777" w:rsidR="00D71A4C" w:rsidRDefault="00D71A4C" w:rsidP="00D71A4C">
      <w:pPr>
        <w:ind w:left="1134"/>
        <w:jc w:val="both"/>
        <w:rPr>
          <w:rFonts w:ascii="Times New Roman" w:hAnsi="Times New Roman"/>
          <w:sz w:val="22"/>
          <w:szCs w:val="22"/>
          <w:lang w:val="en-US"/>
        </w:rPr>
      </w:pPr>
      <w:r w:rsidRPr="00B455EC">
        <w:rPr>
          <w:rFonts w:ascii="Times New Roman" w:hAnsi="Times New Roman"/>
          <w:sz w:val="22"/>
          <w:szCs w:val="22"/>
        </w:rPr>
        <w:t>The contractor shall deliver the goods on standard European “Euro-pallets”. The packaging shall become the property of the recipient subject to respect for the environment.</w:t>
      </w:r>
    </w:p>
    <w:p w14:paraId="35397EDA" w14:textId="77777777" w:rsidR="00D71A4C" w:rsidRDefault="00D71A4C" w:rsidP="00D71A4C">
      <w:pPr>
        <w:ind w:left="1134"/>
        <w:jc w:val="both"/>
        <w:rPr>
          <w:rFonts w:ascii="Times New Roman" w:hAnsi="Times New Roman"/>
          <w:sz w:val="22"/>
          <w:szCs w:val="22"/>
          <w:lang w:val="en-US"/>
        </w:rPr>
      </w:pPr>
      <w:r w:rsidRPr="00B455EC">
        <w:rPr>
          <w:rFonts w:ascii="Times New Roman" w:hAnsi="Times New Roman"/>
          <w:sz w:val="22"/>
          <w:szCs w:val="22"/>
        </w:rPr>
        <w:t>Every ‘Euro-Pallet” has to be labelled with its exact content and total weight.</w:t>
      </w:r>
    </w:p>
    <w:p w14:paraId="79C440C4" w14:textId="77777777" w:rsidR="00D71A4C" w:rsidRDefault="00D71A4C" w:rsidP="00D71A4C">
      <w:pPr>
        <w:ind w:left="1134"/>
        <w:jc w:val="both"/>
        <w:rPr>
          <w:rFonts w:ascii="Times New Roman" w:hAnsi="Times New Roman"/>
          <w:sz w:val="22"/>
          <w:szCs w:val="22"/>
          <w:lang w:val="en-US"/>
        </w:rPr>
      </w:pPr>
      <w:r w:rsidRPr="00B455EC">
        <w:rPr>
          <w:rFonts w:ascii="Times New Roman" w:hAnsi="Times New Roman"/>
          <w:sz w:val="22"/>
          <w:szCs w:val="22"/>
        </w:rPr>
        <w:t>The maximum load per standard “Euro-pallet” (including the pallet) shall be up to 400 kg. For new certified pallets the maximum load (including the pallet) may be up to 1, 2 t maximum.     </w:t>
      </w:r>
    </w:p>
    <w:p w14:paraId="78F59BA8" w14:textId="77777777" w:rsidR="00D71A4C" w:rsidRDefault="00D71A4C" w:rsidP="00D71A4C">
      <w:pPr>
        <w:ind w:left="1134"/>
        <w:jc w:val="both"/>
        <w:rPr>
          <w:rFonts w:ascii="Times New Roman" w:hAnsi="Times New Roman"/>
          <w:sz w:val="22"/>
          <w:szCs w:val="22"/>
          <w:lang w:val="en-US"/>
        </w:rPr>
      </w:pPr>
      <w:r>
        <w:rPr>
          <w:rFonts w:ascii="Times New Roman" w:hAnsi="Times New Roman"/>
          <w:sz w:val="22"/>
          <w:szCs w:val="22"/>
        </w:rPr>
        <w:t xml:space="preserve"> </w:t>
      </w:r>
      <w:r w:rsidRPr="00B455EC">
        <w:rPr>
          <w:rFonts w:ascii="Times New Roman" w:hAnsi="Times New Roman"/>
          <w:sz w:val="22"/>
          <w:szCs w:val="22"/>
        </w:rPr>
        <w:t xml:space="preserve">Height of packing shall be up to maximum 1.6 m. </w:t>
      </w:r>
    </w:p>
    <w:p w14:paraId="01617100" w14:textId="77777777" w:rsidR="00D71A4C" w:rsidRDefault="00D71A4C" w:rsidP="00D71A4C">
      <w:pPr>
        <w:ind w:left="1134"/>
        <w:jc w:val="both"/>
        <w:rPr>
          <w:rFonts w:ascii="Times New Roman" w:hAnsi="Times New Roman"/>
          <w:sz w:val="22"/>
          <w:szCs w:val="22"/>
          <w:lang w:val="en-US"/>
        </w:rPr>
      </w:pPr>
      <w:r w:rsidRPr="00B455EC">
        <w:rPr>
          <w:rFonts w:ascii="Times New Roman" w:hAnsi="Times New Roman"/>
          <w:sz w:val="22"/>
          <w:szCs w:val="22"/>
        </w:rPr>
        <w:t>Items shall be packed into boxes with like items packed together. Every box should have individual labelling indicating clearly the content, weight and dimensions, including but not limited to labelling for dangerous goods in accordance with IATA/ADR dangerous goods labelling and in accordance with REGULATION (EC) No 1272/2008 of 16 December 2008.</w:t>
      </w:r>
    </w:p>
    <w:p w14:paraId="1238AEF2" w14:textId="77777777" w:rsidR="00D71A4C" w:rsidRDefault="00D71A4C" w:rsidP="00D71A4C">
      <w:pPr>
        <w:ind w:left="1134"/>
        <w:jc w:val="both"/>
        <w:rPr>
          <w:rFonts w:ascii="Times New Roman" w:hAnsi="Times New Roman"/>
          <w:sz w:val="22"/>
          <w:szCs w:val="22"/>
        </w:rPr>
      </w:pPr>
      <w:r w:rsidRPr="00B455EC">
        <w:rPr>
          <w:rFonts w:ascii="Times New Roman" w:hAnsi="Times New Roman"/>
          <w:sz w:val="22"/>
          <w:szCs w:val="22"/>
        </w:rPr>
        <w:lastRenderedPageBreak/>
        <w:t>Should the nature of the goods make it impossible to meet a requirement set under this article 29, variations may be authorised by the Project manager, following the receipt, before the actual delivery, of a detailed request letter from the Contractor.</w:t>
      </w:r>
      <w:r>
        <w:rPr>
          <w:rFonts w:ascii="Times New Roman" w:hAnsi="Times New Roman"/>
          <w:sz w:val="22"/>
          <w:szCs w:val="22"/>
        </w:rPr>
        <w:t xml:space="preserve"> </w:t>
      </w:r>
    </w:p>
    <w:p w14:paraId="239C3842" w14:textId="77777777" w:rsidR="00D71A4C" w:rsidRPr="00214BC8" w:rsidRDefault="00D71A4C" w:rsidP="00D71A4C">
      <w:pPr>
        <w:ind w:left="1134"/>
        <w:jc w:val="both"/>
        <w:rPr>
          <w:rFonts w:ascii="Times New Roman" w:hAnsi="Times New Roman"/>
          <w:sz w:val="22"/>
          <w:szCs w:val="22"/>
          <w:lang w:val="en-US"/>
        </w:rPr>
      </w:pPr>
      <w:r w:rsidRPr="00B455EC">
        <w:rPr>
          <w:rFonts w:ascii="Times New Roman" w:hAnsi="Times New Roman"/>
          <w:sz w:val="22"/>
          <w:szCs w:val="22"/>
        </w:rPr>
        <w:t xml:space="preserve">Unless, duly authorised by the Project manager before the actual delivery, any shipment delivered in violation of the contractual obligations set under this article 29 will be rejected and remain under the custody and exclusive responsibility of the contractor or the carrier appointed by it. The Contractor or carrier shall NOT be entitled to claim for any compensation or indemnity for loss suffered in case the shipment was rejected by the Contracting Authority due to the violation of a contractual obligation set under article 29 </w:t>
      </w:r>
      <w:r w:rsidRPr="00214BC8">
        <w:rPr>
          <w:rFonts w:ascii="Times New Roman" w:hAnsi="Times New Roman"/>
          <w:sz w:val="22"/>
          <w:szCs w:val="22"/>
        </w:rPr>
        <w:t>of these special conditions.</w:t>
      </w:r>
    </w:p>
    <w:p w14:paraId="64F05594" w14:textId="47AC77BF" w:rsidR="00BD1517" w:rsidRPr="00214BC8" w:rsidRDefault="00BD1517" w:rsidP="00D71A4C">
      <w:pPr>
        <w:ind w:left="1134" w:hanging="709"/>
        <w:jc w:val="both"/>
        <w:rPr>
          <w:rFonts w:ascii="Times New Roman" w:hAnsi="Times New Roman"/>
          <w:b/>
          <w:sz w:val="22"/>
          <w:szCs w:val="22"/>
        </w:rPr>
      </w:pPr>
      <w:r w:rsidRPr="00214BC8">
        <w:rPr>
          <w:rFonts w:ascii="Times New Roman" w:hAnsi="Times New Roman"/>
          <w:sz w:val="22"/>
          <w:szCs w:val="22"/>
        </w:rPr>
        <w:t>29.4</w:t>
      </w:r>
      <w:r w:rsidR="009D0375" w:rsidRPr="00214BC8">
        <w:rPr>
          <w:rFonts w:ascii="Times New Roman" w:hAnsi="Times New Roman"/>
          <w:sz w:val="22"/>
          <w:szCs w:val="22"/>
        </w:rPr>
        <w:tab/>
      </w:r>
      <w:r w:rsidRPr="00214BC8">
        <w:rPr>
          <w:rFonts w:ascii="Times New Roman" w:hAnsi="Times New Roman"/>
          <w:sz w:val="22"/>
        </w:rPr>
        <w:t>The place of acceptance of the supplies shall be</w:t>
      </w:r>
      <w:r w:rsidR="00D71A4C" w:rsidRPr="00214BC8">
        <w:rPr>
          <w:rFonts w:ascii="Times New Roman" w:hAnsi="Times New Roman"/>
          <w:sz w:val="22"/>
        </w:rPr>
        <w:t xml:space="preserve"> EULEX Warehouse</w:t>
      </w:r>
      <w:r w:rsidRPr="00214BC8">
        <w:rPr>
          <w:rFonts w:ascii="Times New Roman" w:hAnsi="Times New Roman"/>
          <w:sz w:val="22"/>
        </w:rPr>
        <w:t>.</w:t>
      </w:r>
    </w:p>
    <w:p w14:paraId="7C1E7DCB" w14:textId="77777777" w:rsidR="0047783A" w:rsidRPr="003D6B6C" w:rsidRDefault="0047783A" w:rsidP="00B34179">
      <w:pPr>
        <w:spacing w:before="240"/>
        <w:ind w:left="1134" w:hanging="1134"/>
        <w:jc w:val="both"/>
        <w:rPr>
          <w:rFonts w:ascii="Times New Roman" w:hAnsi="Times New Roman"/>
          <w:b/>
          <w:sz w:val="24"/>
          <w:szCs w:val="24"/>
        </w:rPr>
      </w:pPr>
      <w:bookmarkStart w:id="17" w:name="_Toc124934914"/>
      <w:r w:rsidRPr="00214BC8">
        <w:rPr>
          <w:rFonts w:ascii="Times New Roman" w:hAnsi="Times New Roman"/>
          <w:b/>
          <w:sz w:val="24"/>
          <w:szCs w:val="24"/>
        </w:rPr>
        <w:t>Article 31</w:t>
      </w:r>
      <w:r w:rsidRPr="00214BC8">
        <w:rPr>
          <w:rFonts w:ascii="Times New Roman" w:hAnsi="Times New Roman"/>
          <w:b/>
          <w:sz w:val="24"/>
          <w:szCs w:val="24"/>
        </w:rPr>
        <w:tab/>
        <w:t>Provisional acceptance</w:t>
      </w:r>
      <w:bookmarkEnd w:id="17"/>
    </w:p>
    <w:p w14:paraId="6D4B2F1A" w14:textId="0523DA7A" w:rsidR="00206C94" w:rsidRDefault="0047783A" w:rsidP="00D71A4C">
      <w:pPr>
        <w:jc w:val="both"/>
        <w:rPr>
          <w:rFonts w:ascii="Times New Roman" w:hAnsi="Times New Roman"/>
          <w:b/>
          <w:sz w:val="24"/>
          <w:szCs w:val="24"/>
        </w:rPr>
      </w:pPr>
      <w:r w:rsidRPr="003D6B6C">
        <w:rPr>
          <w:rFonts w:ascii="Times New Roman" w:hAnsi="Times New Roman"/>
          <w:sz w:val="22"/>
          <w:szCs w:val="22"/>
        </w:rPr>
        <w:t xml:space="preserve">The </w:t>
      </w:r>
      <w:r w:rsidR="00F60098">
        <w:rPr>
          <w:rFonts w:ascii="Times New Roman" w:hAnsi="Times New Roman"/>
          <w:sz w:val="22"/>
          <w:szCs w:val="22"/>
        </w:rPr>
        <w:t>c</w:t>
      </w:r>
      <w:r w:rsidRPr="003D6B6C">
        <w:rPr>
          <w:rFonts w:ascii="Times New Roman" w:hAnsi="Times New Roman"/>
          <w:sz w:val="22"/>
          <w:szCs w:val="22"/>
        </w:rPr>
        <w:t xml:space="preserve">ertificate of </w:t>
      </w:r>
      <w:r w:rsidR="00F60098">
        <w:rPr>
          <w:rFonts w:ascii="Times New Roman" w:hAnsi="Times New Roman"/>
          <w:sz w:val="22"/>
          <w:szCs w:val="22"/>
        </w:rPr>
        <w:t>p</w:t>
      </w:r>
      <w:r w:rsidRPr="003D6B6C">
        <w:rPr>
          <w:rFonts w:ascii="Times New Roman" w:hAnsi="Times New Roman"/>
          <w:sz w:val="22"/>
          <w:szCs w:val="22"/>
        </w:rPr>
        <w:t xml:space="preserve">rovisional </w:t>
      </w:r>
      <w:r w:rsidR="00F60098">
        <w:rPr>
          <w:rFonts w:ascii="Times New Roman" w:hAnsi="Times New Roman"/>
          <w:sz w:val="22"/>
          <w:szCs w:val="22"/>
        </w:rPr>
        <w:t>a</w:t>
      </w:r>
      <w:r w:rsidRPr="003D6B6C">
        <w:rPr>
          <w:rFonts w:ascii="Times New Roman" w:hAnsi="Times New Roman"/>
          <w:sz w:val="22"/>
          <w:szCs w:val="22"/>
        </w:rPr>
        <w:t>cceptance must be issued using the template in Annex</w:t>
      </w:r>
      <w:r w:rsidR="001B55AC" w:rsidRPr="003D6B6C">
        <w:rPr>
          <w:rFonts w:ascii="Times New Roman" w:hAnsi="Times New Roman"/>
          <w:sz w:val="22"/>
          <w:szCs w:val="22"/>
        </w:rPr>
        <w:t> </w:t>
      </w:r>
      <w:r w:rsidRPr="003D6B6C">
        <w:rPr>
          <w:rFonts w:ascii="Times New Roman" w:hAnsi="Times New Roman"/>
          <w:sz w:val="22"/>
          <w:szCs w:val="22"/>
        </w:rPr>
        <w:t xml:space="preserve">C11. </w:t>
      </w:r>
      <w:bookmarkStart w:id="18" w:name="_Toc124934915"/>
    </w:p>
    <w:p w14:paraId="6D19FB26" w14:textId="0C27C8B3" w:rsidR="0047783A" w:rsidRPr="003D6B6C" w:rsidRDefault="0047783A" w:rsidP="00B34179">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32</w:t>
      </w:r>
      <w:r w:rsidRPr="003D6B6C">
        <w:rPr>
          <w:rFonts w:ascii="Times New Roman" w:hAnsi="Times New Roman"/>
          <w:b/>
          <w:sz w:val="24"/>
          <w:szCs w:val="24"/>
        </w:rPr>
        <w:tab/>
        <w:t>Warranty</w:t>
      </w:r>
      <w:bookmarkEnd w:id="18"/>
      <w:r w:rsidR="00177A94" w:rsidRPr="003D6B6C">
        <w:rPr>
          <w:rFonts w:ascii="Times New Roman" w:hAnsi="Times New Roman"/>
          <w:b/>
          <w:sz w:val="24"/>
          <w:szCs w:val="24"/>
        </w:rPr>
        <w:t xml:space="preserve"> obligations</w:t>
      </w:r>
    </w:p>
    <w:p w14:paraId="6F2B0CA9" w14:textId="77777777" w:rsidR="00D71A4C" w:rsidRPr="00D032D4" w:rsidRDefault="00DF7EE0" w:rsidP="00D71A4C">
      <w:pPr>
        <w:ind w:left="1134" w:hanging="1134"/>
        <w:jc w:val="both"/>
        <w:rPr>
          <w:rFonts w:ascii="Times New Roman" w:hAnsi="Times New Roman"/>
          <w:sz w:val="22"/>
          <w:szCs w:val="22"/>
        </w:rPr>
      </w:pPr>
      <w:r w:rsidRPr="003D6B6C">
        <w:rPr>
          <w:rFonts w:ascii="Times New Roman" w:hAnsi="Times New Roman"/>
          <w:sz w:val="22"/>
          <w:szCs w:val="22"/>
        </w:rPr>
        <w:t>32.7</w:t>
      </w:r>
      <w:r w:rsidRPr="003D6B6C">
        <w:rPr>
          <w:rFonts w:ascii="Times New Roman" w:hAnsi="Times New Roman"/>
          <w:sz w:val="22"/>
          <w:szCs w:val="22"/>
        </w:rPr>
        <w:tab/>
      </w:r>
      <w:r w:rsidR="00D71A4C" w:rsidRPr="00D032D4">
        <w:rPr>
          <w:rFonts w:ascii="Times New Roman" w:hAnsi="Times New Roman"/>
          <w:sz w:val="22"/>
          <w:szCs w:val="22"/>
        </w:rPr>
        <w:t>The warranty must remain valid for one year after provisional acceptance.</w:t>
      </w:r>
    </w:p>
    <w:p w14:paraId="516F443D" w14:textId="1B1B65FA" w:rsidR="00DF7EE0" w:rsidRPr="003D6B6C" w:rsidRDefault="00D71A4C" w:rsidP="00D71A4C">
      <w:pPr>
        <w:ind w:left="1134" w:hanging="1134"/>
        <w:jc w:val="both"/>
        <w:rPr>
          <w:rFonts w:ascii="Times New Roman" w:hAnsi="Times New Roman"/>
          <w:sz w:val="22"/>
          <w:szCs w:val="22"/>
        </w:rPr>
      </w:pPr>
      <w:r>
        <w:rPr>
          <w:rFonts w:ascii="Times New Roman" w:hAnsi="Times New Roman"/>
          <w:sz w:val="22"/>
          <w:szCs w:val="22"/>
        </w:rPr>
        <w:t xml:space="preserve">                     </w:t>
      </w:r>
      <w:r w:rsidRPr="00AE4F2E">
        <w:rPr>
          <w:rFonts w:ascii="Times New Roman" w:hAnsi="Times New Roman"/>
          <w:sz w:val="22"/>
          <w:szCs w:val="22"/>
        </w:rPr>
        <w:t>The commercial warranty must be valid for one year after provisional acceptance.</w:t>
      </w:r>
    </w:p>
    <w:p w14:paraId="060E3D5F" w14:textId="77777777" w:rsidR="0047783A" w:rsidRPr="003D6B6C" w:rsidRDefault="0047783A" w:rsidP="00B34179">
      <w:pPr>
        <w:spacing w:before="240"/>
        <w:ind w:left="1134" w:hanging="1134"/>
        <w:jc w:val="both"/>
        <w:rPr>
          <w:rFonts w:ascii="Times New Roman" w:hAnsi="Times New Roman"/>
          <w:b/>
          <w:sz w:val="24"/>
          <w:szCs w:val="24"/>
        </w:rPr>
      </w:pPr>
      <w:bookmarkStart w:id="19" w:name="_Toc124934917"/>
      <w:r w:rsidRPr="003D6B6C">
        <w:rPr>
          <w:rFonts w:ascii="Times New Roman" w:hAnsi="Times New Roman"/>
          <w:b/>
          <w:sz w:val="24"/>
          <w:szCs w:val="24"/>
        </w:rPr>
        <w:t>Article 40</w:t>
      </w:r>
      <w:r w:rsidR="00EB45CB" w:rsidRPr="003D6B6C">
        <w:rPr>
          <w:rFonts w:ascii="Times New Roman" w:hAnsi="Times New Roman"/>
          <w:b/>
          <w:sz w:val="24"/>
          <w:szCs w:val="24"/>
        </w:rPr>
        <w:tab/>
      </w:r>
      <w:r w:rsidRPr="003D6B6C">
        <w:rPr>
          <w:rFonts w:ascii="Times New Roman" w:hAnsi="Times New Roman"/>
          <w:b/>
          <w:sz w:val="24"/>
          <w:szCs w:val="24"/>
        </w:rPr>
        <w:t>Settlement of disputes</w:t>
      </w:r>
      <w:bookmarkEnd w:id="19"/>
    </w:p>
    <w:p w14:paraId="39818108" w14:textId="5553D539" w:rsidR="0047783A" w:rsidRPr="003D6B6C" w:rsidRDefault="0047783A" w:rsidP="000C21BC">
      <w:pPr>
        <w:spacing w:before="0"/>
        <w:jc w:val="both"/>
        <w:rPr>
          <w:rFonts w:ascii="Times New Roman" w:hAnsi="Times New Roman"/>
          <w:sz w:val="22"/>
          <w:szCs w:val="22"/>
        </w:rPr>
      </w:pPr>
      <w:r w:rsidRPr="003D6B6C">
        <w:rPr>
          <w:rFonts w:ascii="Times New Roman" w:hAnsi="Times New Roman"/>
          <w:sz w:val="22"/>
          <w:szCs w:val="22"/>
        </w:rPr>
        <w:t>40.</w:t>
      </w:r>
      <w:r w:rsidR="00D83918" w:rsidRPr="003D6B6C">
        <w:rPr>
          <w:rFonts w:ascii="Times New Roman" w:hAnsi="Times New Roman"/>
          <w:sz w:val="22"/>
          <w:szCs w:val="22"/>
        </w:rPr>
        <w:t>4</w:t>
      </w:r>
      <w:r w:rsidRPr="003D6B6C">
        <w:rPr>
          <w:rFonts w:ascii="Times New Roman" w:hAnsi="Times New Roman"/>
          <w:sz w:val="22"/>
          <w:szCs w:val="22"/>
        </w:rPr>
        <w:tab/>
      </w:r>
      <w:r w:rsidRPr="00206C94">
        <w:rPr>
          <w:rFonts w:ascii="Times New Roman" w:hAnsi="Times New Roman"/>
          <w:sz w:val="22"/>
          <w:szCs w:val="22"/>
        </w:rPr>
        <w:t xml:space="preserve">Any disputes arising out of or relating to this </w:t>
      </w:r>
      <w:r w:rsidR="00F60098" w:rsidRPr="00206C94">
        <w:rPr>
          <w:rFonts w:ascii="Times New Roman" w:hAnsi="Times New Roman"/>
          <w:sz w:val="22"/>
          <w:szCs w:val="22"/>
        </w:rPr>
        <w:t>c</w:t>
      </w:r>
      <w:r w:rsidR="0097513D" w:rsidRPr="00206C94">
        <w:rPr>
          <w:rFonts w:ascii="Times New Roman" w:hAnsi="Times New Roman"/>
          <w:sz w:val="22"/>
          <w:szCs w:val="22"/>
        </w:rPr>
        <w:t>ontract</w:t>
      </w:r>
      <w:r w:rsidRPr="00206C94">
        <w:rPr>
          <w:rFonts w:ascii="Times New Roman" w:hAnsi="Times New Roman"/>
          <w:sz w:val="22"/>
          <w:szCs w:val="22"/>
        </w:rPr>
        <w:t xml:space="preserve"> which cannot be settled amicably </w:t>
      </w:r>
      <w:r w:rsidR="00551543" w:rsidRPr="00206C94">
        <w:rPr>
          <w:rFonts w:ascii="Times New Roman" w:hAnsi="Times New Roman"/>
          <w:sz w:val="22"/>
          <w:szCs w:val="22"/>
        </w:rPr>
        <w:t>sha</w:t>
      </w:r>
      <w:r w:rsidR="003D2078" w:rsidRPr="00206C94">
        <w:rPr>
          <w:rFonts w:ascii="Times New Roman" w:hAnsi="Times New Roman"/>
          <w:sz w:val="22"/>
          <w:szCs w:val="22"/>
        </w:rPr>
        <w:t>ll</w:t>
      </w:r>
      <w:r w:rsidRPr="00206C94">
        <w:rPr>
          <w:rFonts w:ascii="Times New Roman" w:hAnsi="Times New Roman"/>
          <w:sz w:val="22"/>
          <w:szCs w:val="22"/>
        </w:rPr>
        <w:t xml:space="preserve"> be referred to the exclusive jurisdiction of</w:t>
      </w:r>
      <w:r w:rsidRPr="00206C94">
        <w:rPr>
          <w:rFonts w:ascii="Times New Roman" w:hAnsi="Times New Roman"/>
          <w:i/>
          <w:sz w:val="22"/>
          <w:szCs w:val="22"/>
        </w:rPr>
        <w:t xml:space="preserve"> </w:t>
      </w:r>
      <w:r w:rsidRPr="00206C94">
        <w:rPr>
          <w:rFonts w:ascii="Times New Roman" w:hAnsi="Times New Roman"/>
          <w:sz w:val="22"/>
          <w:szCs w:val="22"/>
        </w:rPr>
        <w:t>the courts of Brussels, Belgium.</w:t>
      </w:r>
    </w:p>
    <w:p w14:paraId="53F35545" w14:textId="1C0D7E49" w:rsidR="00407C90" w:rsidRDefault="00407C90" w:rsidP="00B5440B">
      <w:pPr>
        <w:keepNext/>
        <w:keepLines/>
        <w:tabs>
          <w:tab w:val="left" w:pos="1134"/>
        </w:tabs>
        <w:spacing w:before="240" w:after="0"/>
        <w:ind w:left="1134" w:hanging="1134"/>
        <w:rPr>
          <w:rFonts w:ascii="Times New Roman" w:hAnsi="Times New Roman"/>
          <w:b/>
          <w:sz w:val="24"/>
          <w:szCs w:val="24"/>
          <w:highlight w:val="lightGray"/>
        </w:rPr>
      </w:pPr>
      <w:r w:rsidRPr="00206C94">
        <w:rPr>
          <w:rFonts w:ascii="Times New Roman" w:hAnsi="Times New Roman"/>
          <w:b/>
          <w:sz w:val="24"/>
          <w:szCs w:val="24"/>
        </w:rPr>
        <w:t>Article 44</w:t>
      </w:r>
      <w:r w:rsidRPr="00206C94">
        <w:rPr>
          <w:rFonts w:ascii="Times New Roman" w:hAnsi="Times New Roman"/>
          <w:b/>
          <w:sz w:val="24"/>
          <w:szCs w:val="24"/>
        </w:rPr>
        <w:tab/>
        <w:t xml:space="preserve">Data </w:t>
      </w:r>
      <w:r w:rsidR="00686E07" w:rsidRPr="00206C94">
        <w:rPr>
          <w:rFonts w:ascii="Times New Roman" w:hAnsi="Times New Roman"/>
          <w:b/>
          <w:sz w:val="24"/>
          <w:szCs w:val="24"/>
        </w:rPr>
        <w:t>p</w:t>
      </w:r>
      <w:r w:rsidRPr="00206C94">
        <w:rPr>
          <w:rFonts w:ascii="Times New Roman" w:hAnsi="Times New Roman"/>
          <w:b/>
          <w:sz w:val="24"/>
          <w:szCs w:val="24"/>
        </w:rPr>
        <w:t>rotection</w:t>
      </w:r>
    </w:p>
    <w:p w14:paraId="1FB0A325" w14:textId="06BACB0D" w:rsidR="00206C94" w:rsidRPr="00206C94" w:rsidRDefault="00C05EBE" w:rsidP="00206C94">
      <w:pPr>
        <w:jc w:val="both"/>
        <w:rPr>
          <w:rFonts w:ascii="Times New Roman" w:hAnsi="Times New Roman"/>
          <w:sz w:val="22"/>
          <w:szCs w:val="22"/>
          <w:lang w:eastAsia="en-GB"/>
        </w:rPr>
      </w:pPr>
      <w:r w:rsidRPr="00206C94">
        <w:rPr>
          <w:rFonts w:ascii="Times New Roman" w:hAnsi="Times New Roman"/>
          <w:sz w:val="22"/>
          <w:szCs w:val="22"/>
          <w:lang w:eastAsia="en-GB"/>
        </w:rPr>
        <w:t>For the purpose of Article 44</w:t>
      </w:r>
      <w:r w:rsidR="000C21BC">
        <w:rPr>
          <w:rFonts w:ascii="Times New Roman" w:hAnsi="Times New Roman"/>
          <w:sz w:val="22"/>
          <w:szCs w:val="22"/>
          <w:lang w:eastAsia="en-GB"/>
        </w:rPr>
        <w:t xml:space="preserve"> </w:t>
      </w:r>
      <w:r w:rsidRPr="00206C94">
        <w:rPr>
          <w:rFonts w:ascii="Times New Roman" w:hAnsi="Times New Roman"/>
          <w:sz w:val="22"/>
          <w:szCs w:val="22"/>
          <w:lang w:eastAsia="en-GB"/>
        </w:rPr>
        <w:t>of the</w:t>
      </w:r>
      <w:r w:rsidR="00CE0E21">
        <w:rPr>
          <w:rFonts w:ascii="Times New Roman" w:hAnsi="Times New Roman"/>
          <w:sz w:val="22"/>
          <w:szCs w:val="22"/>
          <w:lang w:eastAsia="en-GB"/>
        </w:rPr>
        <w:t xml:space="preserve"> g</w:t>
      </w:r>
      <w:r w:rsidRPr="00206C94">
        <w:rPr>
          <w:rFonts w:ascii="Times New Roman" w:hAnsi="Times New Roman"/>
          <w:sz w:val="22"/>
          <w:szCs w:val="22"/>
          <w:lang w:eastAsia="en-GB"/>
        </w:rPr>
        <w:t xml:space="preserve">eneral </w:t>
      </w:r>
      <w:r w:rsidR="00CE0E21">
        <w:rPr>
          <w:rFonts w:ascii="Times New Roman" w:hAnsi="Times New Roman"/>
          <w:sz w:val="22"/>
          <w:szCs w:val="22"/>
          <w:lang w:eastAsia="en-GB"/>
        </w:rPr>
        <w:t>c</w:t>
      </w:r>
      <w:r w:rsidRPr="00206C94">
        <w:rPr>
          <w:rFonts w:ascii="Times New Roman" w:hAnsi="Times New Roman"/>
          <w:sz w:val="22"/>
          <w:szCs w:val="22"/>
          <w:lang w:eastAsia="en-GB"/>
        </w:rPr>
        <w:t xml:space="preserve">onditions, </w:t>
      </w:r>
      <w:r w:rsidR="00206C94" w:rsidRPr="00206C94">
        <w:rPr>
          <w:rFonts w:ascii="Times New Roman" w:hAnsi="Times New Roman"/>
          <w:snapToGrid/>
          <w:sz w:val="22"/>
          <w:szCs w:val="22"/>
          <w:lang w:eastAsia="en-GB"/>
        </w:rPr>
        <w:t>for the part of the data transferred by the contracting authority to the European Commission:</w:t>
      </w:r>
    </w:p>
    <w:p w14:paraId="566F7F35" w14:textId="77777777" w:rsidR="00206C94" w:rsidRPr="00206C94" w:rsidRDefault="00206C94" w:rsidP="00206C94">
      <w:pPr>
        <w:numPr>
          <w:ilvl w:val="0"/>
          <w:numId w:val="28"/>
        </w:numPr>
        <w:spacing w:before="0" w:after="0" w:line="276" w:lineRule="auto"/>
        <w:ind w:left="426" w:hanging="426"/>
        <w:jc w:val="both"/>
        <w:rPr>
          <w:rFonts w:ascii="Times New Roman" w:hAnsi="Times New Roman"/>
          <w:snapToGrid/>
          <w:sz w:val="22"/>
          <w:szCs w:val="22"/>
          <w:lang w:eastAsia="en-GB"/>
        </w:rPr>
      </w:pPr>
      <w:r w:rsidRPr="00206C94">
        <w:rPr>
          <w:rFonts w:ascii="Times New Roman" w:hAnsi="Times New Roman"/>
          <w:snapToGrid/>
          <w:sz w:val="22"/>
          <w:szCs w:val="22"/>
          <w:lang w:eastAsia="en-GB"/>
        </w:rPr>
        <w:t>the controller for the processing of personal data carried out within the Commission is (FPI) is: The Head of Unit of FPI.6.</w:t>
      </w:r>
    </w:p>
    <w:p w14:paraId="0E6FFA03" w14:textId="43ED5D04" w:rsidR="00206C94" w:rsidRPr="00CE0E21" w:rsidRDefault="00206C94" w:rsidP="00206C94">
      <w:pPr>
        <w:numPr>
          <w:ilvl w:val="0"/>
          <w:numId w:val="28"/>
        </w:numPr>
        <w:spacing w:before="0" w:after="0" w:line="276" w:lineRule="auto"/>
        <w:ind w:left="426" w:hanging="426"/>
        <w:jc w:val="both"/>
        <w:rPr>
          <w:rFonts w:ascii="Times New Roman" w:hAnsi="Times New Roman"/>
          <w:snapToGrid/>
          <w:sz w:val="22"/>
          <w:szCs w:val="22"/>
          <w:lang w:eastAsia="en-GB"/>
        </w:rPr>
      </w:pPr>
      <w:r w:rsidRPr="00CE0E21">
        <w:rPr>
          <w:rFonts w:ascii="Times New Roman" w:hAnsi="Times New Roman"/>
          <w:snapToGrid/>
          <w:sz w:val="22"/>
          <w:szCs w:val="22"/>
          <w:lang w:eastAsia="en-GB"/>
        </w:rPr>
        <w:t>the</w:t>
      </w:r>
      <w:r w:rsidR="00CE0E21" w:rsidRPr="00CE0E21">
        <w:rPr>
          <w:rFonts w:ascii="Times New Roman" w:hAnsi="Times New Roman"/>
          <w:snapToGrid/>
          <w:sz w:val="22"/>
          <w:szCs w:val="22"/>
          <w:lang w:eastAsia="en-GB"/>
        </w:rPr>
        <w:t xml:space="preserve"> </w:t>
      </w:r>
      <w:r w:rsidR="00CE0E21" w:rsidRPr="00CE0E21">
        <w:rPr>
          <w:rFonts w:ascii="Times New Roman" w:hAnsi="Times New Roman"/>
          <w:sz w:val="22"/>
          <w:szCs w:val="22"/>
        </w:rPr>
        <w:t xml:space="preserve">privacy statement is available at the following </w:t>
      </w:r>
      <w:hyperlink r:id="rId9" w:anchor="Annexes-AnnexesA(Ch.2):General" w:history="1">
        <w:r w:rsidR="00CE0E21" w:rsidRPr="00CE0E21">
          <w:rPr>
            <w:rStyle w:val="Hyperlink"/>
            <w:rFonts w:ascii="Times New Roman" w:hAnsi="Times New Roman"/>
            <w:sz w:val="22"/>
            <w:szCs w:val="22"/>
          </w:rPr>
          <w:t>link</w:t>
        </w:r>
      </w:hyperlink>
      <w:r w:rsidR="00CE0E21" w:rsidRPr="00CE0E21">
        <w:rPr>
          <w:rFonts w:ascii="Times New Roman" w:hAnsi="Times New Roman"/>
          <w:sz w:val="22"/>
          <w:szCs w:val="22"/>
        </w:rPr>
        <w:t>.</w:t>
      </w:r>
    </w:p>
    <w:p w14:paraId="78D6EBD3" w14:textId="77777777" w:rsidR="00206C94" w:rsidRPr="00206C94" w:rsidRDefault="00206C94" w:rsidP="00206C94">
      <w:pPr>
        <w:spacing w:before="0" w:after="0" w:line="276" w:lineRule="auto"/>
        <w:jc w:val="both"/>
        <w:rPr>
          <w:rFonts w:ascii="Times New Roman" w:hAnsi="Times New Roman"/>
          <w:snapToGrid/>
          <w:sz w:val="22"/>
          <w:szCs w:val="22"/>
          <w:lang w:eastAsia="en-GB"/>
        </w:rPr>
      </w:pPr>
    </w:p>
    <w:p w14:paraId="3C615DD9" w14:textId="6C8013AD" w:rsidR="00CE0E21" w:rsidRPr="00CE0E21" w:rsidRDefault="00CE0E21" w:rsidP="00CE0E21">
      <w:pPr>
        <w:spacing w:before="0" w:after="0"/>
        <w:jc w:val="both"/>
        <w:rPr>
          <w:rFonts w:ascii="Times New Roman" w:hAnsi="Times New Roman"/>
          <w:snapToGrid/>
          <w:sz w:val="22"/>
          <w:szCs w:val="22"/>
          <w:lang w:val="en-US" w:eastAsia="en-GB"/>
        </w:rPr>
      </w:pPr>
      <w:r w:rsidRPr="00CE0E21">
        <w:rPr>
          <w:rFonts w:ascii="Times New Roman" w:hAnsi="Times New Roman"/>
          <w:snapToGrid/>
          <w:sz w:val="22"/>
          <w:szCs w:val="22"/>
          <w:lang w:eastAsia="en-GB"/>
        </w:rPr>
        <w:t>1. Processing of</w:t>
      </w:r>
      <w:r w:rsidR="00214BC8">
        <w:rPr>
          <w:rFonts w:ascii="Times New Roman" w:hAnsi="Times New Roman"/>
          <w:snapToGrid/>
          <w:sz w:val="22"/>
          <w:szCs w:val="22"/>
          <w:lang w:eastAsia="en-GB"/>
        </w:rPr>
        <w:t xml:space="preserve"> </w:t>
      </w:r>
      <w:r w:rsidRPr="00CE0E21">
        <w:rPr>
          <w:rFonts w:ascii="Times New Roman" w:hAnsi="Times New Roman"/>
          <w:snapToGrid/>
          <w:sz w:val="22"/>
          <w:szCs w:val="22"/>
          <w:lang w:eastAsia="en-GB"/>
        </w:rPr>
        <w:t xml:space="preserve">personal data related </w:t>
      </w:r>
      <w:r w:rsidRPr="00CE0E21">
        <w:rPr>
          <w:rFonts w:ascii="Times New Roman" w:hAnsi="Times New Roman"/>
          <w:snapToGrid/>
          <w:sz w:val="22"/>
          <w:szCs w:val="22"/>
          <w:lang w:val="en-US" w:eastAsia="en-GB"/>
        </w:rPr>
        <w:t xml:space="preserve">to this tender procedure, launched by the CSDP Mission acting as the contracting authority, takes place in accordance with Council Decision (CFSP) 2025/1161 which established the Mission and with the provisions of the respective contribution agreement </w:t>
      </w:r>
      <w:r w:rsidRPr="00CE0E21">
        <w:rPr>
          <w:rFonts w:ascii="Times New Roman" w:hAnsi="Times New Roman"/>
          <w:snapToGrid/>
          <w:sz w:val="22"/>
          <w:szCs w:val="22"/>
          <w:lang w:eastAsia="en-GB"/>
        </w:rPr>
        <w:t>(CFSP) 2025/1161</w:t>
      </w:r>
      <w:r w:rsidRPr="00CE0E21">
        <w:rPr>
          <w:rFonts w:ascii="Times New Roman" w:hAnsi="Times New Roman"/>
          <w:bCs/>
          <w:snapToGrid/>
          <w:sz w:val="22"/>
          <w:szCs w:val="22"/>
          <w:lang w:val="en-US" w:eastAsia="en-GB"/>
        </w:rPr>
        <w:t>/EULEX Kosovo</w:t>
      </w:r>
      <w:r w:rsidRPr="00CE0E21">
        <w:rPr>
          <w:rFonts w:ascii="Times New Roman" w:hAnsi="Times New Roman"/>
          <w:b/>
          <w:snapToGrid/>
          <w:sz w:val="22"/>
          <w:szCs w:val="22"/>
          <w:lang w:val="en-US" w:eastAsia="en-GB"/>
        </w:rPr>
        <w:t xml:space="preserve"> </w:t>
      </w:r>
      <w:r w:rsidRPr="00CE0E21">
        <w:rPr>
          <w:rFonts w:ascii="Times New Roman" w:hAnsi="Times New Roman"/>
          <w:snapToGrid/>
          <w:sz w:val="22"/>
          <w:szCs w:val="22"/>
          <w:lang w:val="en-US" w:eastAsia="en-GB"/>
        </w:rPr>
        <w:t xml:space="preserve">concluded between the European Commission and the Mission. </w:t>
      </w:r>
    </w:p>
    <w:p w14:paraId="7E5A3395"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p>
    <w:p w14:paraId="6579CE97"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r w:rsidRPr="00CE0E21">
        <w:rPr>
          <w:rFonts w:ascii="Times New Roman" w:hAnsi="Times New Roman"/>
          <w:snapToGrid/>
          <w:sz w:val="22"/>
          <w:szCs w:val="22"/>
          <w:lang w:val="en-US" w:eastAsia="en-GB"/>
        </w:rPr>
        <w:t xml:space="preserve">2. The tender procedure and the resulting contract relate to the implementation of an external action funded by the EU, represented by the European Commission. </w:t>
      </w:r>
    </w:p>
    <w:p w14:paraId="0CF7739D"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p>
    <w:p w14:paraId="0C1B1213"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r w:rsidRPr="00CE0E21">
        <w:rPr>
          <w:rFonts w:ascii="Times New Roman" w:hAnsi="Times New Roman"/>
          <w:snapToGrid/>
          <w:sz w:val="22"/>
          <w:szCs w:val="22"/>
          <w:lang w:val="en-US" w:eastAsia="en-GB"/>
        </w:rPr>
        <w:t xml:space="preserve">3. Your reply to the invitation to tender may involve the transfer of personal data (such as names, contact details and CVs) from the CSDP Mission (being the contracting authority), to the European Commission. In such case, personal data shall be processed solely for the purposes of the monitoring of the procurement procedure and of the execution of the resulting contract, in line with the respective contribution agreement concluded with the CSDP Mission and with the Council Decision (CFSP) </w:t>
      </w:r>
      <w:r w:rsidRPr="00CE0E21">
        <w:rPr>
          <w:rFonts w:ascii="Times New Roman" w:hAnsi="Times New Roman"/>
          <w:snapToGrid/>
          <w:sz w:val="22"/>
          <w:szCs w:val="22"/>
          <w:lang w:val="en-US" w:eastAsia="en-GB"/>
        </w:rPr>
        <w:lastRenderedPageBreak/>
        <w:t xml:space="preserve">2025/1161 which established the Mission. This is without prejudice to their possible transmission to the bodies in charge of monitoring or inspection tasks in application of EU law. </w:t>
      </w:r>
    </w:p>
    <w:p w14:paraId="059113AF"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p>
    <w:p w14:paraId="29ACDD91"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r w:rsidRPr="00CE0E21">
        <w:rPr>
          <w:rFonts w:ascii="Times New Roman" w:hAnsi="Times New Roman"/>
          <w:snapToGrid/>
          <w:sz w:val="22"/>
          <w:szCs w:val="22"/>
          <w:lang w:val="en-US" w:eastAsia="en-GB"/>
        </w:rPr>
        <w:t xml:space="preserve">4. Details concerning the processing of your personal data by the contracting authority (the Mission) are available on the Mission’s privacy statement at </w:t>
      </w:r>
      <w:hyperlink r:id="rId10" w:history="1">
        <w:r w:rsidRPr="00CE0E21">
          <w:rPr>
            <w:rFonts w:ascii="Times New Roman" w:hAnsi="Times New Roman"/>
            <w:snapToGrid/>
            <w:color w:val="0000FF"/>
            <w:sz w:val="22"/>
            <w:szCs w:val="22"/>
            <w:u w:val="single"/>
            <w:lang w:val="en-US" w:eastAsia="en-GB"/>
          </w:rPr>
          <w:t>ANNEX V: EULEX KOSOVO PRIVACY STATEMENT – DATA PROTECTION NOTICE.</w:t>
        </w:r>
      </w:hyperlink>
      <w:r w:rsidRPr="00CE0E21">
        <w:rPr>
          <w:rFonts w:ascii="Times New Roman" w:hAnsi="Times New Roman"/>
          <w:snapToGrid/>
          <w:sz w:val="22"/>
          <w:szCs w:val="22"/>
          <w:lang w:val="en-US" w:eastAsia="en-GB"/>
        </w:rPr>
        <w:t xml:space="preserve"> </w:t>
      </w:r>
    </w:p>
    <w:p w14:paraId="67BCD7F8"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p>
    <w:p w14:paraId="52B62C32"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r w:rsidRPr="00CE0E21">
        <w:rPr>
          <w:rFonts w:ascii="Times New Roman" w:hAnsi="Times New Roman"/>
          <w:snapToGrid/>
          <w:sz w:val="22"/>
          <w:szCs w:val="22"/>
          <w:lang w:val="en-US" w:eastAsia="en-GB"/>
        </w:rPr>
        <w:t xml:space="preserve">The controller for the processing of personal data carried out within the contracting authority is: the Head of Mission of the CSDP Mission acting here as the contracting authority. </w:t>
      </w:r>
    </w:p>
    <w:p w14:paraId="31CA519B"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p>
    <w:p w14:paraId="39A9802D"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r w:rsidRPr="00CE0E21">
        <w:rPr>
          <w:rFonts w:ascii="Times New Roman" w:hAnsi="Times New Roman"/>
          <w:snapToGrid/>
          <w:sz w:val="22"/>
          <w:szCs w:val="22"/>
          <w:lang w:val="en-US" w:eastAsia="en-GB"/>
        </w:rPr>
        <w:t xml:space="preserve">5. To the extent that the contract covers an action financed by the European Union, the contracting authority (the CSDP Mission) may share communications related to the implementation of the contract with the European Commission. These exchanges shall take place with the Commission, solely for the purpose of allowing the latter to exercise its rights and obligations under the applicable legislative framework and under the contribution agreement concluded with the Mission (the latter being the contracting authority for this contract). </w:t>
      </w:r>
    </w:p>
    <w:p w14:paraId="36A70229"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p>
    <w:p w14:paraId="400AA122"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r w:rsidRPr="00CE0E21">
        <w:rPr>
          <w:rFonts w:ascii="Times New Roman" w:hAnsi="Times New Roman"/>
          <w:snapToGrid/>
          <w:sz w:val="22"/>
          <w:szCs w:val="22"/>
          <w:lang w:val="en-US" w:eastAsia="en-GB"/>
        </w:rPr>
        <w:t xml:space="preserve">6. These exchanges may involve transfers of personal data (such as names, contact details, signatures and CVs) of natural persons involved in the implementation of the contract (such as contractors, staff, experts, trainees, subcontractors, insurers, guarantors, auditors and legal counsels). </w:t>
      </w:r>
    </w:p>
    <w:p w14:paraId="72D45EB4"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p>
    <w:p w14:paraId="584218EC"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r w:rsidRPr="00CE0E21">
        <w:rPr>
          <w:rFonts w:ascii="Times New Roman" w:hAnsi="Times New Roman"/>
          <w:snapToGrid/>
          <w:sz w:val="22"/>
          <w:szCs w:val="22"/>
          <w:lang w:val="en-US" w:eastAsia="en-GB"/>
        </w:rPr>
        <w:t>7. In cases where the contractor is processing personal data in the context of the implementation of the contract, he/she shall accordingly inform the data subjects of the possible transmission of their data to the Mission.</w:t>
      </w:r>
    </w:p>
    <w:p w14:paraId="7AC3078C"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p>
    <w:p w14:paraId="270582B1"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r w:rsidRPr="00CE0E21">
        <w:rPr>
          <w:rFonts w:ascii="Times New Roman" w:hAnsi="Times New Roman"/>
          <w:snapToGrid/>
          <w:sz w:val="22"/>
          <w:szCs w:val="22"/>
          <w:lang w:val="en-US" w:eastAsia="en-GB"/>
        </w:rPr>
        <w:t xml:space="preserve">8. When personal data is transmitted by the contracting authority (the Mission) to the European Commission, the latter processes them in accordance with the contribution agreement concluded with the Mission,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1247/2002/EC2 and as detailed in the following FPI privacy statement: </w:t>
      </w:r>
      <w:hyperlink r:id="rId11" w:history="1">
        <w:r w:rsidRPr="00CE0E21">
          <w:rPr>
            <w:rFonts w:ascii="Times New Roman" w:hAnsi="Times New Roman"/>
            <w:snapToGrid/>
            <w:color w:val="0000FF"/>
            <w:sz w:val="22"/>
            <w:szCs w:val="22"/>
            <w:u w:val="single"/>
            <w:lang w:val="en-US" w:eastAsia="en-GB"/>
          </w:rPr>
          <w:t>Privacy Statement indirect management.pdf.</w:t>
        </w:r>
      </w:hyperlink>
    </w:p>
    <w:p w14:paraId="19738B75" w14:textId="77777777" w:rsidR="00CE0E21" w:rsidRPr="00CE0E21" w:rsidRDefault="00CE0E21" w:rsidP="00CE0E21">
      <w:pPr>
        <w:spacing w:before="0" w:after="0" w:line="276" w:lineRule="auto"/>
        <w:jc w:val="both"/>
        <w:rPr>
          <w:rFonts w:ascii="Times New Roman" w:hAnsi="Times New Roman"/>
          <w:snapToGrid/>
          <w:sz w:val="22"/>
          <w:szCs w:val="22"/>
          <w:lang w:val="en-US" w:eastAsia="en-GB"/>
        </w:rPr>
      </w:pPr>
    </w:p>
    <w:p w14:paraId="25E94693" w14:textId="77777777" w:rsidR="00206C94" w:rsidRPr="00206C94" w:rsidRDefault="00206C94" w:rsidP="00206C94">
      <w:pPr>
        <w:pStyle w:val="ListNumber"/>
        <w:numPr>
          <w:ilvl w:val="0"/>
          <w:numId w:val="0"/>
        </w:numPr>
        <w:spacing w:after="0" w:line="276" w:lineRule="auto"/>
        <w:rPr>
          <w:sz w:val="22"/>
          <w:szCs w:val="22"/>
        </w:rPr>
      </w:pPr>
    </w:p>
    <w:p w14:paraId="016C5FE5" w14:textId="77777777" w:rsidR="001B55AC" w:rsidRPr="003D6B6C" w:rsidRDefault="001B55AC" w:rsidP="001B55AC">
      <w:pPr>
        <w:pStyle w:val="ListNumber"/>
        <w:numPr>
          <w:ilvl w:val="0"/>
          <w:numId w:val="0"/>
        </w:numPr>
        <w:spacing w:before="360" w:after="100" w:afterAutospacing="1"/>
        <w:ind w:left="1984" w:hanging="425"/>
        <w:jc w:val="center"/>
        <w:rPr>
          <w:sz w:val="22"/>
          <w:szCs w:val="22"/>
        </w:rPr>
      </w:pPr>
      <w:r w:rsidRPr="003D6B6C">
        <w:rPr>
          <w:sz w:val="22"/>
          <w:szCs w:val="22"/>
        </w:rPr>
        <w:t>* * *</w:t>
      </w:r>
    </w:p>
    <w:sectPr w:rsidR="001B55AC" w:rsidRPr="003D6B6C" w:rsidSect="00B5440B">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pgMar w:top="1440" w:right="1440" w:bottom="1440" w:left="851" w:header="720" w:footer="568"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0629F" w14:textId="77777777" w:rsidR="00362643" w:rsidRPr="006A5F84" w:rsidRDefault="00362643">
      <w:r w:rsidRPr="006A5F84">
        <w:separator/>
      </w:r>
    </w:p>
  </w:endnote>
  <w:endnote w:type="continuationSeparator" w:id="0">
    <w:p w14:paraId="04680381" w14:textId="77777777" w:rsidR="00362643" w:rsidRPr="006A5F84" w:rsidRDefault="00362643">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F24C"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E34293" w14:textId="77777777" w:rsidR="00117ADA" w:rsidRDefault="00117ADA"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2995" w14:textId="66634087" w:rsidR="007E36E3" w:rsidRPr="00FE689C" w:rsidRDefault="00CA1E77"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Pr>
        <w:rFonts w:ascii="Times New Roman" w:hAnsi="Times New Roman"/>
        <w:b/>
        <w:sz w:val="18"/>
        <w:lang w:val="en-GB"/>
      </w:rPr>
      <w:t>202</w:t>
    </w:r>
    <w:r w:rsidR="00C84FFB">
      <w:rPr>
        <w:rFonts w:ascii="Times New Roman" w:hAnsi="Times New Roman"/>
        <w:b/>
        <w:sz w:val="18"/>
        <w:lang w:val="en-GB"/>
      </w:rPr>
      <w:t>5</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sidR="003E5CA0">
      <w:rPr>
        <w:rStyle w:val="PageNumber"/>
        <w:rFonts w:ascii="Times New Roman" w:hAnsi="Times New Roman"/>
        <w:noProof/>
        <w:sz w:val="18"/>
        <w:szCs w:val="18"/>
        <w:lang w:val="en-GB"/>
      </w:rPr>
      <w:t>10</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sidR="003E5CA0">
      <w:rPr>
        <w:rStyle w:val="PageNumber"/>
        <w:rFonts w:ascii="Times New Roman" w:hAnsi="Times New Roman"/>
        <w:noProof/>
        <w:sz w:val="18"/>
        <w:szCs w:val="18"/>
        <w:lang w:val="en-GB"/>
      </w:rPr>
      <w:t>14</w:t>
    </w:r>
    <w:r w:rsidR="007E36E3" w:rsidRPr="009423FB">
      <w:rPr>
        <w:rStyle w:val="PageNumber"/>
        <w:rFonts w:ascii="Times New Roman" w:hAnsi="Times New Roman"/>
        <w:sz w:val="18"/>
        <w:szCs w:val="18"/>
      </w:rPr>
      <w:fldChar w:fldCharType="end"/>
    </w:r>
  </w:p>
  <w:p w14:paraId="32214240" w14:textId="269F0A18" w:rsidR="00117ADA" w:rsidRPr="007E36E3" w:rsidRDefault="008E007A" w:rsidP="008E007A">
    <w:pPr>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sidR="00B5440B">
      <w:rPr>
        <w:rFonts w:ascii="Times New Roman" w:hAnsi="Times New Roman"/>
        <w:noProof/>
        <w:sz w:val="18"/>
        <w:szCs w:val="18"/>
      </w:rPr>
      <w:t>c4d_specialconditions_en.docx</w:t>
    </w:r>
    <w:r>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36AF"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181BD8D"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53CDC" w14:textId="77777777" w:rsidR="00362643" w:rsidRPr="006A5F84" w:rsidRDefault="00362643">
      <w:r w:rsidRPr="006A5F84">
        <w:separator/>
      </w:r>
    </w:p>
  </w:footnote>
  <w:footnote w:type="continuationSeparator" w:id="0">
    <w:p w14:paraId="03EA1470" w14:textId="77777777" w:rsidR="00362643" w:rsidRPr="006A5F84" w:rsidRDefault="00362643">
      <w:r w:rsidRPr="006A5F84">
        <w:continuationSeparator/>
      </w:r>
    </w:p>
  </w:footnote>
  <w:footnote w:id="1">
    <w:p w14:paraId="33EC8ECA" w14:textId="77777777" w:rsidR="00E95ED8" w:rsidRPr="00430776" w:rsidRDefault="00E95ED8" w:rsidP="00E95ED8">
      <w:pPr>
        <w:pStyle w:val="FootnoteText"/>
        <w:ind w:left="284" w:hanging="284"/>
        <w:rPr>
          <w:lang w:val="en-US"/>
        </w:rPr>
      </w:pPr>
      <w:r>
        <w:rPr>
          <w:rStyle w:val="FootnoteReference"/>
        </w:rPr>
        <w:footnoteRef/>
      </w:r>
      <w:r>
        <w:rPr>
          <w:lang w:val="en-GB"/>
        </w:rPr>
        <w:tab/>
      </w:r>
      <w:r w:rsidRPr="004415E1">
        <w:rPr>
          <w:lang w:val="en-GB"/>
        </w:rPr>
        <w:t xml:space="preserve">DAP (Delivered At Place) - Incoterms 2020 International Chamber of Commerce - </w:t>
      </w:r>
      <w:hyperlink r:id="rId1" w:history="1">
        <w:r w:rsidRPr="00430776">
          <w:rPr>
            <w:lang w:val="en-US"/>
          </w:rPr>
          <w:t>http://www.iccwbo.org/incoterms/</w:t>
        </w:r>
      </w:hyperlink>
    </w:p>
  </w:footnote>
  <w:footnote w:id="2">
    <w:p w14:paraId="6DE1FC9D" w14:textId="47D0C92C" w:rsidR="00BD1517" w:rsidRPr="000665DD" w:rsidRDefault="00BD1517" w:rsidP="009D0375">
      <w:pPr>
        <w:pStyle w:val="FootnoteText"/>
        <w:rPr>
          <w:lang w:val="en-GB"/>
        </w:rPr>
      </w:pPr>
      <w:r w:rsidRPr="00214BC8">
        <w:rPr>
          <w:rStyle w:val="FootnoteReference"/>
          <w:lang w:val="en-GB"/>
        </w:rPr>
        <w:footnoteRef/>
      </w:r>
      <w:r w:rsidR="009D0375" w:rsidRPr="00214BC8">
        <w:rPr>
          <w:lang w:val="en-GB"/>
        </w:rPr>
        <w:tab/>
      </w:r>
      <w:r w:rsidRPr="00214BC8">
        <w:rPr>
          <w:lang w:val="en-GB"/>
        </w:rPr>
        <w:t>&lt;DDP (Delivered Duty Paid)&gt;/&lt;DAP (Delivered At Place)&gt;</w:t>
      </w:r>
      <w:r w:rsidRPr="00214BC8">
        <w:rPr>
          <w:sz w:val="22"/>
          <w:szCs w:val="22"/>
          <w:lang w:val="en-GB"/>
        </w:rPr>
        <w:t xml:space="preserve"> </w:t>
      </w:r>
      <w:r w:rsidRPr="00214BC8">
        <w:rPr>
          <w:lang w:val="en-GB"/>
        </w:rPr>
        <w:t>- Incoterms</w:t>
      </w:r>
      <w:r w:rsidRPr="000665DD">
        <w:rPr>
          <w:lang w:val="en-GB"/>
        </w:rPr>
        <w:t xml:space="preserve"> 2020 International Chamber of Commerce - </w:t>
      </w:r>
      <w:hyperlink r:id="rId2" w:history="1">
        <w:r w:rsidRPr="000665DD">
          <w:rPr>
            <w:rStyle w:val="Hyperlink"/>
            <w:lang w:val="en-GB"/>
          </w:rPr>
          <w:t>http://www.iccwbo.org/incoterms/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B32B" w14:textId="77777777" w:rsidR="00C84FFB" w:rsidRDefault="00C84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E106F" w14:textId="77777777" w:rsidR="00C84FFB" w:rsidRDefault="00C84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3C7F" w14:textId="77777777" w:rsidR="00C84FFB" w:rsidRDefault="00C8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80A08"/>
    <w:multiLevelType w:val="hybridMultilevel"/>
    <w:tmpl w:val="2A1E1A7A"/>
    <w:lvl w:ilvl="0" w:tplc="147E7F60">
      <w:start w:val="1"/>
      <w:numFmt w:val="lowerLetter"/>
      <w:lvlText w:val="(%1)"/>
      <w:lvlJc w:val="left"/>
      <w:pPr>
        <w:ind w:left="240" w:hanging="360"/>
      </w:pPr>
      <w:rPr>
        <w:rFonts w:hint="default"/>
      </w:rPr>
    </w:lvl>
    <w:lvl w:ilvl="1" w:tplc="18090019" w:tentative="1">
      <w:start w:val="1"/>
      <w:numFmt w:val="lowerLetter"/>
      <w:lvlText w:val="%2."/>
      <w:lvlJc w:val="left"/>
      <w:pPr>
        <w:ind w:left="960" w:hanging="360"/>
      </w:pPr>
    </w:lvl>
    <w:lvl w:ilvl="2" w:tplc="1809001B" w:tentative="1">
      <w:start w:val="1"/>
      <w:numFmt w:val="lowerRoman"/>
      <w:lvlText w:val="%3."/>
      <w:lvlJc w:val="right"/>
      <w:pPr>
        <w:ind w:left="1680" w:hanging="180"/>
      </w:pPr>
    </w:lvl>
    <w:lvl w:ilvl="3" w:tplc="1809000F" w:tentative="1">
      <w:start w:val="1"/>
      <w:numFmt w:val="decimal"/>
      <w:lvlText w:val="%4."/>
      <w:lvlJc w:val="left"/>
      <w:pPr>
        <w:ind w:left="2400" w:hanging="360"/>
      </w:pPr>
    </w:lvl>
    <w:lvl w:ilvl="4" w:tplc="18090019" w:tentative="1">
      <w:start w:val="1"/>
      <w:numFmt w:val="lowerLetter"/>
      <w:lvlText w:val="%5."/>
      <w:lvlJc w:val="left"/>
      <w:pPr>
        <w:ind w:left="3120" w:hanging="360"/>
      </w:pPr>
    </w:lvl>
    <w:lvl w:ilvl="5" w:tplc="1809001B" w:tentative="1">
      <w:start w:val="1"/>
      <w:numFmt w:val="lowerRoman"/>
      <w:lvlText w:val="%6."/>
      <w:lvlJc w:val="right"/>
      <w:pPr>
        <w:ind w:left="3840" w:hanging="180"/>
      </w:pPr>
    </w:lvl>
    <w:lvl w:ilvl="6" w:tplc="1809000F" w:tentative="1">
      <w:start w:val="1"/>
      <w:numFmt w:val="decimal"/>
      <w:lvlText w:val="%7."/>
      <w:lvlJc w:val="left"/>
      <w:pPr>
        <w:ind w:left="4560" w:hanging="360"/>
      </w:pPr>
    </w:lvl>
    <w:lvl w:ilvl="7" w:tplc="18090019" w:tentative="1">
      <w:start w:val="1"/>
      <w:numFmt w:val="lowerLetter"/>
      <w:lvlText w:val="%8."/>
      <w:lvlJc w:val="left"/>
      <w:pPr>
        <w:ind w:left="5280" w:hanging="360"/>
      </w:pPr>
    </w:lvl>
    <w:lvl w:ilvl="8" w:tplc="1809001B" w:tentative="1">
      <w:start w:val="1"/>
      <w:numFmt w:val="lowerRoman"/>
      <w:lvlText w:val="%9."/>
      <w:lvlJc w:val="right"/>
      <w:pPr>
        <w:ind w:left="6000" w:hanging="180"/>
      </w:pPr>
    </w:lvl>
  </w:abstractNum>
  <w:abstractNum w:abstractNumId="3"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10"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3"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58F645D"/>
    <w:multiLevelType w:val="multilevel"/>
    <w:tmpl w:val="FB4E70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1188699">
    <w:abstractNumId w:val="11"/>
  </w:num>
  <w:num w:numId="2" w16cid:durableId="818964447">
    <w:abstractNumId w:val="25"/>
  </w:num>
  <w:num w:numId="3" w16cid:durableId="1091316594">
    <w:abstractNumId w:val="10"/>
  </w:num>
  <w:num w:numId="4" w16cid:durableId="325011496">
    <w:abstractNumId w:val="13"/>
  </w:num>
  <w:num w:numId="5" w16cid:durableId="1126629808">
    <w:abstractNumId w:val="27"/>
  </w:num>
  <w:num w:numId="6" w16cid:durableId="2105033888">
    <w:abstractNumId w:val="8"/>
  </w:num>
  <w:num w:numId="7" w16cid:durableId="974914910">
    <w:abstractNumId w:val="5"/>
  </w:num>
  <w:num w:numId="8" w16cid:durableId="1185364038">
    <w:abstractNumId w:val="1"/>
  </w:num>
  <w:num w:numId="9" w16cid:durableId="1801801330">
    <w:abstractNumId w:val="14"/>
  </w:num>
  <w:num w:numId="10" w16cid:durableId="205871635">
    <w:abstractNumId w:val="4"/>
  </w:num>
  <w:num w:numId="11" w16cid:durableId="1573999615">
    <w:abstractNumId w:val="23"/>
  </w:num>
  <w:num w:numId="12" w16cid:durableId="310447625">
    <w:abstractNumId w:val="12"/>
  </w:num>
  <w:num w:numId="13" w16cid:durableId="2093429629">
    <w:abstractNumId w:val="6"/>
  </w:num>
  <w:num w:numId="14" w16cid:durableId="892740171">
    <w:abstractNumId w:val="19"/>
  </w:num>
  <w:num w:numId="15" w16cid:durableId="1700667367">
    <w:abstractNumId w:val="20"/>
  </w:num>
  <w:num w:numId="16" w16cid:durableId="787310804">
    <w:abstractNumId w:val="7"/>
  </w:num>
  <w:num w:numId="17" w16cid:durableId="1691101858">
    <w:abstractNumId w:val="16"/>
  </w:num>
  <w:num w:numId="18" w16cid:durableId="860165109">
    <w:abstractNumId w:val="9"/>
  </w:num>
  <w:num w:numId="19" w16cid:durableId="1202285303">
    <w:abstractNumId w:val="3"/>
  </w:num>
  <w:num w:numId="20" w16cid:durableId="988704147">
    <w:abstractNumId w:val="24"/>
  </w:num>
  <w:num w:numId="21" w16cid:durableId="1560508426">
    <w:abstractNumId w:val="17"/>
  </w:num>
  <w:num w:numId="22" w16cid:durableId="1179002257">
    <w:abstractNumId w:val="15"/>
  </w:num>
  <w:num w:numId="23" w16cid:durableId="229584476">
    <w:abstractNumId w:val="0"/>
  </w:num>
  <w:num w:numId="24" w16cid:durableId="1334186439">
    <w:abstractNumId w:val="21"/>
  </w:num>
  <w:num w:numId="25" w16cid:durableId="1944266987">
    <w:abstractNumId w:val="28"/>
  </w:num>
  <w:num w:numId="26" w16cid:durableId="173958389">
    <w:abstractNumId w:val="18"/>
  </w:num>
  <w:num w:numId="27" w16cid:durableId="433866436">
    <w:abstractNumId w:val="22"/>
  </w:num>
  <w:num w:numId="28" w16cid:durableId="46420562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07E4"/>
    <w:rsid w:val="000021E1"/>
    <w:rsid w:val="0000334D"/>
    <w:rsid w:val="00007C5B"/>
    <w:rsid w:val="00015C5E"/>
    <w:rsid w:val="00024A8F"/>
    <w:rsid w:val="00035AE5"/>
    <w:rsid w:val="00035D61"/>
    <w:rsid w:val="00040153"/>
    <w:rsid w:val="00040CF1"/>
    <w:rsid w:val="00041516"/>
    <w:rsid w:val="000417E2"/>
    <w:rsid w:val="00042EEB"/>
    <w:rsid w:val="00043159"/>
    <w:rsid w:val="0004517D"/>
    <w:rsid w:val="00051DD7"/>
    <w:rsid w:val="00056EAA"/>
    <w:rsid w:val="000574F3"/>
    <w:rsid w:val="00062BA9"/>
    <w:rsid w:val="00063C56"/>
    <w:rsid w:val="000665DD"/>
    <w:rsid w:val="000665DF"/>
    <w:rsid w:val="00066CBA"/>
    <w:rsid w:val="000714BB"/>
    <w:rsid w:val="000724EA"/>
    <w:rsid w:val="0007671B"/>
    <w:rsid w:val="00085CA1"/>
    <w:rsid w:val="00087F35"/>
    <w:rsid w:val="0009286D"/>
    <w:rsid w:val="00092A48"/>
    <w:rsid w:val="0009746B"/>
    <w:rsid w:val="000A1A71"/>
    <w:rsid w:val="000A3B36"/>
    <w:rsid w:val="000A3E2A"/>
    <w:rsid w:val="000A5F2B"/>
    <w:rsid w:val="000A6371"/>
    <w:rsid w:val="000A7A2C"/>
    <w:rsid w:val="000B0983"/>
    <w:rsid w:val="000B1236"/>
    <w:rsid w:val="000B3D64"/>
    <w:rsid w:val="000B46A8"/>
    <w:rsid w:val="000B654F"/>
    <w:rsid w:val="000B79F6"/>
    <w:rsid w:val="000B7C15"/>
    <w:rsid w:val="000C21BC"/>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172C"/>
    <w:rsid w:val="001320DF"/>
    <w:rsid w:val="00144E89"/>
    <w:rsid w:val="00146589"/>
    <w:rsid w:val="0014659F"/>
    <w:rsid w:val="00150767"/>
    <w:rsid w:val="00150EC7"/>
    <w:rsid w:val="001515E4"/>
    <w:rsid w:val="001536B3"/>
    <w:rsid w:val="00154A06"/>
    <w:rsid w:val="00154F15"/>
    <w:rsid w:val="00155623"/>
    <w:rsid w:val="00157C6D"/>
    <w:rsid w:val="00157DEE"/>
    <w:rsid w:val="00163357"/>
    <w:rsid w:val="001645AC"/>
    <w:rsid w:val="00164F15"/>
    <w:rsid w:val="0016752D"/>
    <w:rsid w:val="00167C52"/>
    <w:rsid w:val="00172260"/>
    <w:rsid w:val="001766D9"/>
    <w:rsid w:val="00177A94"/>
    <w:rsid w:val="00180E2D"/>
    <w:rsid w:val="00181980"/>
    <w:rsid w:val="00184144"/>
    <w:rsid w:val="001859A5"/>
    <w:rsid w:val="001864B6"/>
    <w:rsid w:val="00187253"/>
    <w:rsid w:val="00190077"/>
    <w:rsid w:val="001932AF"/>
    <w:rsid w:val="001937B4"/>
    <w:rsid w:val="001A0632"/>
    <w:rsid w:val="001A6941"/>
    <w:rsid w:val="001A6C79"/>
    <w:rsid w:val="001B4DA9"/>
    <w:rsid w:val="001B5454"/>
    <w:rsid w:val="001B55AC"/>
    <w:rsid w:val="001C6A79"/>
    <w:rsid w:val="001C709F"/>
    <w:rsid w:val="001C75B0"/>
    <w:rsid w:val="001D0532"/>
    <w:rsid w:val="001D1EB9"/>
    <w:rsid w:val="001D20C7"/>
    <w:rsid w:val="001D339B"/>
    <w:rsid w:val="001E2362"/>
    <w:rsid w:val="001E4648"/>
    <w:rsid w:val="001F410B"/>
    <w:rsid w:val="001F5048"/>
    <w:rsid w:val="001F5421"/>
    <w:rsid w:val="00200A60"/>
    <w:rsid w:val="002012E1"/>
    <w:rsid w:val="00206C94"/>
    <w:rsid w:val="002077B6"/>
    <w:rsid w:val="00210552"/>
    <w:rsid w:val="00211229"/>
    <w:rsid w:val="00211E0F"/>
    <w:rsid w:val="00214BC8"/>
    <w:rsid w:val="00216ADC"/>
    <w:rsid w:val="00216F0D"/>
    <w:rsid w:val="002209F1"/>
    <w:rsid w:val="00220BF7"/>
    <w:rsid w:val="00224C44"/>
    <w:rsid w:val="00225CDC"/>
    <w:rsid w:val="00227A8C"/>
    <w:rsid w:val="00230AB3"/>
    <w:rsid w:val="00232677"/>
    <w:rsid w:val="00240B1F"/>
    <w:rsid w:val="002426D3"/>
    <w:rsid w:val="0024425D"/>
    <w:rsid w:val="002442B7"/>
    <w:rsid w:val="002455C7"/>
    <w:rsid w:val="0025137A"/>
    <w:rsid w:val="002543D5"/>
    <w:rsid w:val="002560BB"/>
    <w:rsid w:val="002561C8"/>
    <w:rsid w:val="00256304"/>
    <w:rsid w:val="00256CB2"/>
    <w:rsid w:val="00262F04"/>
    <w:rsid w:val="0026542C"/>
    <w:rsid w:val="00271700"/>
    <w:rsid w:val="00272A7B"/>
    <w:rsid w:val="00277BEB"/>
    <w:rsid w:val="0028364A"/>
    <w:rsid w:val="00283AC4"/>
    <w:rsid w:val="00290561"/>
    <w:rsid w:val="00294190"/>
    <w:rsid w:val="0029676B"/>
    <w:rsid w:val="00297C14"/>
    <w:rsid w:val="002A0041"/>
    <w:rsid w:val="002A651B"/>
    <w:rsid w:val="002A6DB8"/>
    <w:rsid w:val="002B3B4D"/>
    <w:rsid w:val="002B6401"/>
    <w:rsid w:val="002C649A"/>
    <w:rsid w:val="002C74BB"/>
    <w:rsid w:val="002D0CE1"/>
    <w:rsid w:val="002D1FCC"/>
    <w:rsid w:val="002D2D27"/>
    <w:rsid w:val="002D2FC0"/>
    <w:rsid w:val="002D34D3"/>
    <w:rsid w:val="002D6EED"/>
    <w:rsid w:val="002E312B"/>
    <w:rsid w:val="002E5532"/>
    <w:rsid w:val="002F0BB0"/>
    <w:rsid w:val="002F1222"/>
    <w:rsid w:val="002F3C0E"/>
    <w:rsid w:val="00304C1E"/>
    <w:rsid w:val="0031140C"/>
    <w:rsid w:val="00317D86"/>
    <w:rsid w:val="00322263"/>
    <w:rsid w:val="00324259"/>
    <w:rsid w:val="0032469B"/>
    <w:rsid w:val="003308C6"/>
    <w:rsid w:val="003316E3"/>
    <w:rsid w:val="0033212F"/>
    <w:rsid w:val="003323F5"/>
    <w:rsid w:val="003330F8"/>
    <w:rsid w:val="00335E06"/>
    <w:rsid w:val="0033700A"/>
    <w:rsid w:val="003409B8"/>
    <w:rsid w:val="003439C4"/>
    <w:rsid w:val="00345D44"/>
    <w:rsid w:val="00347B7E"/>
    <w:rsid w:val="003502E9"/>
    <w:rsid w:val="00351351"/>
    <w:rsid w:val="00360344"/>
    <w:rsid w:val="003613D2"/>
    <w:rsid w:val="00361AE1"/>
    <w:rsid w:val="00361AF6"/>
    <w:rsid w:val="00362643"/>
    <w:rsid w:val="00363ACC"/>
    <w:rsid w:val="0036422F"/>
    <w:rsid w:val="00371851"/>
    <w:rsid w:val="00371F01"/>
    <w:rsid w:val="003721AD"/>
    <w:rsid w:val="00372540"/>
    <w:rsid w:val="00382640"/>
    <w:rsid w:val="0038357E"/>
    <w:rsid w:val="00384BAB"/>
    <w:rsid w:val="00384BFF"/>
    <w:rsid w:val="00384E02"/>
    <w:rsid w:val="00385FFC"/>
    <w:rsid w:val="00387C56"/>
    <w:rsid w:val="003915CC"/>
    <w:rsid w:val="00391C12"/>
    <w:rsid w:val="003925E9"/>
    <w:rsid w:val="0039277B"/>
    <w:rsid w:val="003933E2"/>
    <w:rsid w:val="00395823"/>
    <w:rsid w:val="003A1309"/>
    <w:rsid w:val="003A431E"/>
    <w:rsid w:val="003C084D"/>
    <w:rsid w:val="003C7266"/>
    <w:rsid w:val="003D2078"/>
    <w:rsid w:val="003D3CAA"/>
    <w:rsid w:val="003D625C"/>
    <w:rsid w:val="003D6B6C"/>
    <w:rsid w:val="003D7611"/>
    <w:rsid w:val="003E5CA0"/>
    <w:rsid w:val="003E7C71"/>
    <w:rsid w:val="003F2FA4"/>
    <w:rsid w:val="003F3783"/>
    <w:rsid w:val="003F3B51"/>
    <w:rsid w:val="003F44B3"/>
    <w:rsid w:val="003F44DD"/>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0776"/>
    <w:rsid w:val="00430FE7"/>
    <w:rsid w:val="0043157A"/>
    <w:rsid w:val="004316F0"/>
    <w:rsid w:val="0043240C"/>
    <w:rsid w:val="00432F7A"/>
    <w:rsid w:val="00441859"/>
    <w:rsid w:val="00445A75"/>
    <w:rsid w:val="004476EF"/>
    <w:rsid w:val="004520DC"/>
    <w:rsid w:val="0045310F"/>
    <w:rsid w:val="00454E0D"/>
    <w:rsid w:val="004554CB"/>
    <w:rsid w:val="0045678B"/>
    <w:rsid w:val="004607CD"/>
    <w:rsid w:val="004626B5"/>
    <w:rsid w:val="00463E3C"/>
    <w:rsid w:val="00474AF3"/>
    <w:rsid w:val="00474D17"/>
    <w:rsid w:val="004775D2"/>
    <w:rsid w:val="00477689"/>
    <w:rsid w:val="0047783A"/>
    <w:rsid w:val="00483E26"/>
    <w:rsid w:val="0049088E"/>
    <w:rsid w:val="0049293D"/>
    <w:rsid w:val="00494168"/>
    <w:rsid w:val="004A0140"/>
    <w:rsid w:val="004A101E"/>
    <w:rsid w:val="004A6563"/>
    <w:rsid w:val="004A7ED9"/>
    <w:rsid w:val="004B633B"/>
    <w:rsid w:val="004B7463"/>
    <w:rsid w:val="004C270A"/>
    <w:rsid w:val="004C35B5"/>
    <w:rsid w:val="004C3C82"/>
    <w:rsid w:val="004C6030"/>
    <w:rsid w:val="004C77A2"/>
    <w:rsid w:val="004D2FD8"/>
    <w:rsid w:val="004D33C9"/>
    <w:rsid w:val="004D375D"/>
    <w:rsid w:val="004D7349"/>
    <w:rsid w:val="004E43B2"/>
    <w:rsid w:val="004E6C5D"/>
    <w:rsid w:val="004F5C57"/>
    <w:rsid w:val="004F7A0E"/>
    <w:rsid w:val="005005D7"/>
    <w:rsid w:val="00501FF0"/>
    <w:rsid w:val="005047E0"/>
    <w:rsid w:val="00507AF2"/>
    <w:rsid w:val="00507BA0"/>
    <w:rsid w:val="00512BE8"/>
    <w:rsid w:val="00513C6F"/>
    <w:rsid w:val="00515D85"/>
    <w:rsid w:val="00516552"/>
    <w:rsid w:val="0051770F"/>
    <w:rsid w:val="0052175F"/>
    <w:rsid w:val="00522467"/>
    <w:rsid w:val="0053077B"/>
    <w:rsid w:val="00530948"/>
    <w:rsid w:val="0053480C"/>
    <w:rsid w:val="00535826"/>
    <w:rsid w:val="00535CC6"/>
    <w:rsid w:val="00536B4A"/>
    <w:rsid w:val="00537189"/>
    <w:rsid w:val="00551543"/>
    <w:rsid w:val="00554164"/>
    <w:rsid w:val="00555019"/>
    <w:rsid w:val="00555E74"/>
    <w:rsid w:val="00555F46"/>
    <w:rsid w:val="00556923"/>
    <w:rsid w:val="00556F39"/>
    <w:rsid w:val="005603B0"/>
    <w:rsid w:val="005634B2"/>
    <w:rsid w:val="00563662"/>
    <w:rsid w:val="00563669"/>
    <w:rsid w:val="0057265F"/>
    <w:rsid w:val="00575CB0"/>
    <w:rsid w:val="005772F7"/>
    <w:rsid w:val="00582894"/>
    <w:rsid w:val="00583FF3"/>
    <w:rsid w:val="00584F28"/>
    <w:rsid w:val="0058601E"/>
    <w:rsid w:val="00586D6C"/>
    <w:rsid w:val="00591F23"/>
    <w:rsid w:val="005921FA"/>
    <w:rsid w:val="00593430"/>
    <w:rsid w:val="00593550"/>
    <w:rsid w:val="005967B4"/>
    <w:rsid w:val="005A016E"/>
    <w:rsid w:val="005A123C"/>
    <w:rsid w:val="005A6C0F"/>
    <w:rsid w:val="005B0129"/>
    <w:rsid w:val="005B083F"/>
    <w:rsid w:val="005B2018"/>
    <w:rsid w:val="005B3CAB"/>
    <w:rsid w:val="005B5937"/>
    <w:rsid w:val="005C0EA1"/>
    <w:rsid w:val="005C36B8"/>
    <w:rsid w:val="005C5B43"/>
    <w:rsid w:val="005C7809"/>
    <w:rsid w:val="005D0163"/>
    <w:rsid w:val="005D03AA"/>
    <w:rsid w:val="005D05B0"/>
    <w:rsid w:val="005D72F7"/>
    <w:rsid w:val="005F3C51"/>
    <w:rsid w:val="005F62D0"/>
    <w:rsid w:val="00602210"/>
    <w:rsid w:val="00611A73"/>
    <w:rsid w:val="00611DF0"/>
    <w:rsid w:val="006219A1"/>
    <w:rsid w:val="00623AB3"/>
    <w:rsid w:val="006311FE"/>
    <w:rsid w:val="0063123B"/>
    <w:rsid w:val="00631F9A"/>
    <w:rsid w:val="00633829"/>
    <w:rsid w:val="00636E8F"/>
    <w:rsid w:val="00637C8F"/>
    <w:rsid w:val="006408AC"/>
    <w:rsid w:val="00640D24"/>
    <w:rsid w:val="00642E75"/>
    <w:rsid w:val="00645D6F"/>
    <w:rsid w:val="00651B07"/>
    <w:rsid w:val="00655A60"/>
    <w:rsid w:val="006575A8"/>
    <w:rsid w:val="00661B3C"/>
    <w:rsid w:val="0066519D"/>
    <w:rsid w:val="00670223"/>
    <w:rsid w:val="00671703"/>
    <w:rsid w:val="00677500"/>
    <w:rsid w:val="0068247E"/>
    <w:rsid w:val="00683E34"/>
    <w:rsid w:val="00684801"/>
    <w:rsid w:val="006858D9"/>
    <w:rsid w:val="00686ACD"/>
    <w:rsid w:val="00686E07"/>
    <w:rsid w:val="006917B2"/>
    <w:rsid w:val="00692095"/>
    <w:rsid w:val="00694C3A"/>
    <w:rsid w:val="00695007"/>
    <w:rsid w:val="006A5F84"/>
    <w:rsid w:val="006A601D"/>
    <w:rsid w:val="006B0AB1"/>
    <w:rsid w:val="006B145B"/>
    <w:rsid w:val="006B5E82"/>
    <w:rsid w:val="006C2D19"/>
    <w:rsid w:val="006C2F05"/>
    <w:rsid w:val="006C3263"/>
    <w:rsid w:val="006C513D"/>
    <w:rsid w:val="006D3BA1"/>
    <w:rsid w:val="006D3DE4"/>
    <w:rsid w:val="006D5CEE"/>
    <w:rsid w:val="006E5450"/>
    <w:rsid w:val="006E54F2"/>
    <w:rsid w:val="006E56FD"/>
    <w:rsid w:val="006E5B49"/>
    <w:rsid w:val="006E6880"/>
    <w:rsid w:val="006F43E5"/>
    <w:rsid w:val="006F596C"/>
    <w:rsid w:val="00703B91"/>
    <w:rsid w:val="00704477"/>
    <w:rsid w:val="00711C72"/>
    <w:rsid w:val="0071212E"/>
    <w:rsid w:val="0071243A"/>
    <w:rsid w:val="00720411"/>
    <w:rsid w:val="00722016"/>
    <w:rsid w:val="00724C93"/>
    <w:rsid w:val="00724D0C"/>
    <w:rsid w:val="00725082"/>
    <w:rsid w:val="0073450F"/>
    <w:rsid w:val="007520CA"/>
    <w:rsid w:val="0075384B"/>
    <w:rsid w:val="007552DC"/>
    <w:rsid w:val="00760195"/>
    <w:rsid w:val="007625F7"/>
    <w:rsid w:val="00763299"/>
    <w:rsid w:val="00763B1C"/>
    <w:rsid w:val="0076610D"/>
    <w:rsid w:val="007666CD"/>
    <w:rsid w:val="00772E0E"/>
    <w:rsid w:val="00775F12"/>
    <w:rsid w:val="00776BF7"/>
    <w:rsid w:val="00777E99"/>
    <w:rsid w:val="007858B9"/>
    <w:rsid w:val="00791DAC"/>
    <w:rsid w:val="00792A1B"/>
    <w:rsid w:val="00794EE6"/>
    <w:rsid w:val="00795949"/>
    <w:rsid w:val="00797C04"/>
    <w:rsid w:val="007A0045"/>
    <w:rsid w:val="007A1101"/>
    <w:rsid w:val="007A3D34"/>
    <w:rsid w:val="007A67D6"/>
    <w:rsid w:val="007A6AF5"/>
    <w:rsid w:val="007B4853"/>
    <w:rsid w:val="007B65DB"/>
    <w:rsid w:val="007B7A35"/>
    <w:rsid w:val="007C0BDD"/>
    <w:rsid w:val="007C1656"/>
    <w:rsid w:val="007C75E0"/>
    <w:rsid w:val="007D5FA2"/>
    <w:rsid w:val="007D752C"/>
    <w:rsid w:val="007E0CD5"/>
    <w:rsid w:val="007E36E3"/>
    <w:rsid w:val="007E3D5F"/>
    <w:rsid w:val="007F4988"/>
    <w:rsid w:val="007F5DDE"/>
    <w:rsid w:val="007F6802"/>
    <w:rsid w:val="0080623C"/>
    <w:rsid w:val="00806CE0"/>
    <w:rsid w:val="00811F58"/>
    <w:rsid w:val="0081418B"/>
    <w:rsid w:val="00815BD5"/>
    <w:rsid w:val="008201BB"/>
    <w:rsid w:val="008214E2"/>
    <w:rsid w:val="008227A5"/>
    <w:rsid w:val="00822E7E"/>
    <w:rsid w:val="008272ED"/>
    <w:rsid w:val="00830347"/>
    <w:rsid w:val="00830BE9"/>
    <w:rsid w:val="00833EBD"/>
    <w:rsid w:val="008413B3"/>
    <w:rsid w:val="008428B9"/>
    <w:rsid w:val="00853F9D"/>
    <w:rsid w:val="00855409"/>
    <w:rsid w:val="0085667F"/>
    <w:rsid w:val="008617F3"/>
    <w:rsid w:val="0086688D"/>
    <w:rsid w:val="00866B17"/>
    <w:rsid w:val="00870FD6"/>
    <w:rsid w:val="00872DA7"/>
    <w:rsid w:val="008733D3"/>
    <w:rsid w:val="00876589"/>
    <w:rsid w:val="008808CB"/>
    <w:rsid w:val="0088419E"/>
    <w:rsid w:val="008847D1"/>
    <w:rsid w:val="00884DDE"/>
    <w:rsid w:val="00885882"/>
    <w:rsid w:val="008859E6"/>
    <w:rsid w:val="008870C9"/>
    <w:rsid w:val="0089085F"/>
    <w:rsid w:val="008923B0"/>
    <w:rsid w:val="00892CE9"/>
    <w:rsid w:val="008934F5"/>
    <w:rsid w:val="00894325"/>
    <w:rsid w:val="008A048D"/>
    <w:rsid w:val="008A0660"/>
    <w:rsid w:val="008A39B7"/>
    <w:rsid w:val="008A6DE2"/>
    <w:rsid w:val="008B230C"/>
    <w:rsid w:val="008C4E79"/>
    <w:rsid w:val="008C5A40"/>
    <w:rsid w:val="008C5DAA"/>
    <w:rsid w:val="008C6A92"/>
    <w:rsid w:val="008D065E"/>
    <w:rsid w:val="008E007A"/>
    <w:rsid w:val="008E40E2"/>
    <w:rsid w:val="008E5F59"/>
    <w:rsid w:val="008E7A2D"/>
    <w:rsid w:val="008F3866"/>
    <w:rsid w:val="008F4FF6"/>
    <w:rsid w:val="009143FD"/>
    <w:rsid w:val="00920A51"/>
    <w:rsid w:val="00922542"/>
    <w:rsid w:val="00923EDA"/>
    <w:rsid w:val="009251E3"/>
    <w:rsid w:val="00925DBE"/>
    <w:rsid w:val="00930AD1"/>
    <w:rsid w:val="00933F06"/>
    <w:rsid w:val="0093582A"/>
    <w:rsid w:val="009372A3"/>
    <w:rsid w:val="00945CA1"/>
    <w:rsid w:val="0094670B"/>
    <w:rsid w:val="00950B0C"/>
    <w:rsid w:val="009679FA"/>
    <w:rsid w:val="0097513D"/>
    <w:rsid w:val="00980A42"/>
    <w:rsid w:val="00983FDE"/>
    <w:rsid w:val="00986B1E"/>
    <w:rsid w:val="009976B3"/>
    <w:rsid w:val="009A0E33"/>
    <w:rsid w:val="009A3792"/>
    <w:rsid w:val="009A3A53"/>
    <w:rsid w:val="009A4F18"/>
    <w:rsid w:val="009A69B2"/>
    <w:rsid w:val="009A7E29"/>
    <w:rsid w:val="009B0CF1"/>
    <w:rsid w:val="009B1FBF"/>
    <w:rsid w:val="009B2F1F"/>
    <w:rsid w:val="009B422E"/>
    <w:rsid w:val="009B4D6F"/>
    <w:rsid w:val="009B5A6D"/>
    <w:rsid w:val="009B71DF"/>
    <w:rsid w:val="009B7587"/>
    <w:rsid w:val="009C0E86"/>
    <w:rsid w:val="009D0375"/>
    <w:rsid w:val="009D2938"/>
    <w:rsid w:val="009D2E17"/>
    <w:rsid w:val="009D6A3D"/>
    <w:rsid w:val="009E4F6E"/>
    <w:rsid w:val="009E6BB7"/>
    <w:rsid w:val="009F22C3"/>
    <w:rsid w:val="009F3126"/>
    <w:rsid w:val="009F323B"/>
    <w:rsid w:val="009F7E6A"/>
    <w:rsid w:val="00A039CA"/>
    <w:rsid w:val="00A04004"/>
    <w:rsid w:val="00A101C9"/>
    <w:rsid w:val="00A11551"/>
    <w:rsid w:val="00A11F12"/>
    <w:rsid w:val="00A13EB8"/>
    <w:rsid w:val="00A1746F"/>
    <w:rsid w:val="00A2645C"/>
    <w:rsid w:val="00A277E9"/>
    <w:rsid w:val="00A31EF5"/>
    <w:rsid w:val="00A41B28"/>
    <w:rsid w:val="00A5099A"/>
    <w:rsid w:val="00A512A5"/>
    <w:rsid w:val="00A512C9"/>
    <w:rsid w:val="00A539E4"/>
    <w:rsid w:val="00A55A8E"/>
    <w:rsid w:val="00A56046"/>
    <w:rsid w:val="00A62073"/>
    <w:rsid w:val="00A63E3C"/>
    <w:rsid w:val="00A665A2"/>
    <w:rsid w:val="00A7016F"/>
    <w:rsid w:val="00A72C82"/>
    <w:rsid w:val="00A75650"/>
    <w:rsid w:val="00A76A6E"/>
    <w:rsid w:val="00A812E9"/>
    <w:rsid w:val="00A845B1"/>
    <w:rsid w:val="00A87E3D"/>
    <w:rsid w:val="00A90875"/>
    <w:rsid w:val="00A9597C"/>
    <w:rsid w:val="00AA24A4"/>
    <w:rsid w:val="00AA3AAB"/>
    <w:rsid w:val="00AA4766"/>
    <w:rsid w:val="00AA5BB2"/>
    <w:rsid w:val="00AB26E0"/>
    <w:rsid w:val="00AB29A9"/>
    <w:rsid w:val="00AB3A36"/>
    <w:rsid w:val="00AB3AB0"/>
    <w:rsid w:val="00AB5ED5"/>
    <w:rsid w:val="00AB66A5"/>
    <w:rsid w:val="00AC1107"/>
    <w:rsid w:val="00AC2621"/>
    <w:rsid w:val="00AC2B97"/>
    <w:rsid w:val="00AC5207"/>
    <w:rsid w:val="00AC62B6"/>
    <w:rsid w:val="00AC6D78"/>
    <w:rsid w:val="00AC7636"/>
    <w:rsid w:val="00AC7EEC"/>
    <w:rsid w:val="00AD1A3A"/>
    <w:rsid w:val="00AE0E38"/>
    <w:rsid w:val="00AE5192"/>
    <w:rsid w:val="00AE5504"/>
    <w:rsid w:val="00AE6600"/>
    <w:rsid w:val="00AE7D13"/>
    <w:rsid w:val="00AF275B"/>
    <w:rsid w:val="00AF4052"/>
    <w:rsid w:val="00AF47CA"/>
    <w:rsid w:val="00B003F6"/>
    <w:rsid w:val="00B0538B"/>
    <w:rsid w:val="00B07102"/>
    <w:rsid w:val="00B1165D"/>
    <w:rsid w:val="00B12EB5"/>
    <w:rsid w:val="00B17A53"/>
    <w:rsid w:val="00B207DB"/>
    <w:rsid w:val="00B22470"/>
    <w:rsid w:val="00B24350"/>
    <w:rsid w:val="00B2488A"/>
    <w:rsid w:val="00B2499C"/>
    <w:rsid w:val="00B2529B"/>
    <w:rsid w:val="00B277E4"/>
    <w:rsid w:val="00B30528"/>
    <w:rsid w:val="00B3168E"/>
    <w:rsid w:val="00B34179"/>
    <w:rsid w:val="00B44B08"/>
    <w:rsid w:val="00B44DC5"/>
    <w:rsid w:val="00B4772C"/>
    <w:rsid w:val="00B51209"/>
    <w:rsid w:val="00B51D59"/>
    <w:rsid w:val="00B52AFC"/>
    <w:rsid w:val="00B5440B"/>
    <w:rsid w:val="00B569B1"/>
    <w:rsid w:val="00B576E1"/>
    <w:rsid w:val="00B57BB8"/>
    <w:rsid w:val="00B605B6"/>
    <w:rsid w:val="00B61CED"/>
    <w:rsid w:val="00B63280"/>
    <w:rsid w:val="00B70C0E"/>
    <w:rsid w:val="00B7329A"/>
    <w:rsid w:val="00B80DE8"/>
    <w:rsid w:val="00B8161D"/>
    <w:rsid w:val="00B84EBC"/>
    <w:rsid w:val="00B90A17"/>
    <w:rsid w:val="00B90C14"/>
    <w:rsid w:val="00B9254B"/>
    <w:rsid w:val="00B9316C"/>
    <w:rsid w:val="00B937F3"/>
    <w:rsid w:val="00B96171"/>
    <w:rsid w:val="00B965CD"/>
    <w:rsid w:val="00B9691D"/>
    <w:rsid w:val="00BA3081"/>
    <w:rsid w:val="00BA3B1A"/>
    <w:rsid w:val="00BA70CB"/>
    <w:rsid w:val="00BB2075"/>
    <w:rsid w:val="00BB2DA5"/>
    <w:rsid w:val="00BB56D3"/>
    <w:rsid w:val="00BC0A51"/>
    <w:rsid w:val="00BC3B75"/>
    <w:rsid w:val="00BC3D17"/>
    <w:rsid w:val="00BC6222"/>
    <w:rsid w:val="00BC743F"/>
    <w:rsid w:val="00BD1306"/>
    <w:rsid w:val="00BD1517"/>
    <w:rsid w:val="00BD19BA"/>
    <w:rsid w:val="00BD201F"/>
    <w:rsid w:val="00BD2F43"/>
    <w:rsid w:val="00BD3371"/>
    <w:rsid w:val="00BD727C"/>
    <w:rsid w:val="00BD72C6"/>
    <w:rsid w:val="00BE3FDF"/>
    <w:rsid w:val="00BF1A9A"/>
    <w:rsid w:val="00C01E30"/>
    <w:rsid w:val="00C05EBE"/>
    <w:rsid w:val="00C12AF0"/>
    <w:rsid w:val="00C13C29"/>
    <w:rsid w:val="00C1524D"/>
    <w:rsid w:val="00C17310"/>
    <w:rsid w:val="00C20179"/>
    <w:rsid w:val="00C20F71"/>
    <w:rsid w:val="00C302E1"/>
    <w:rsid w:val="00C3235B"/>
    <w:rsid w:val="00C34E40"/>
    <w:rsid w:val="00C40278"/>
    <w:rsid w:val="00C41328"/>
    <w:rsid w:val="00C41919"/>
    <w:rsid w:val="00C45D2B"/>
    <w:rsid w:val="00C52305"/>
    <w:rsid w:val="00C61312"/>
    <w:rsid w:val="00C6189A"/>
    <w:rsid w:val="00C629CF"/>
    <w:rsid w:val="00C70783"/>
    <w:rsid w:val="00C70E2C"/>
    <w:rsid w:val="00C720C8"/>
    <w:rsid w:val="00C73AAE"/>
    <w:rsid w:val="00C73F87"/>
    <w:rsid w:val="00C75CCE"/>
    <w:rsid w:val="00C778A1"/>
    <w:rsid w:val="00C80DCF"/>
    <w:rsid w:val="00C8298B"/>
    <w:rsid w:val="00C846C9"/>
    <w:rsid w:val="00C84FFB"/>
    <w:rsid w:val="00C86724"/>
    <w:rsid w:val="00C92434"/>
    <w:rsid w:val="00C94A76"/>
    <w:rsid w:val="00C95838"/>
    <w:rsid w:val="00CA1354"/>
    <w:rsid w:val="00CA1E77"/>
    <w:rsid w:val="00CA2B18"/>
    <w:rsid w:val="00CA3F76"/>
    <w:rsid w:val="00CA6C68"/>
    <w:rsid w:val="00CB616B"/>
    <w:rsid w:val="00CC189A"/>
    <w:rsid w:val="00CC7DE2"/>
    <w:rsid w:val="00CD68C0"/>
    <w:rsid w:val="00CD6FC9"/>
    <w:rsid w:val="00CD7F25"/>
    <w:rsid w:val="00CE0E21"/>
    <w:rsid w:val="00CF2DE2"/>
    <w:rsid w:val="00CF30C4"/>
    <w:rsid w:val="00CF6CFA"/>
    <w:rsid w:val="00D02E23"/>
    <w:rsid w:val="00D11009"/>
    <w:rsid w:val="00D1214C"/>
    <w:rsid w:val="00D131B2"/>
    <w:rsid w:val="00D14292"/>
    <w:rsid w:val="00D17DAE"/>
    <w:rsid w:val="00D23D4C"/>
    <w:rsid w:val="00D243E7"/>
    <w:rsid w:val="00D24469"/>
    <w:rsid w:val="00D24893"/>
    <w:rsid w:val="00D25624"/>
    <w:rsid w:val="00D25711"/>
    <w:rsid w:val="00D312D2"/>
    <w:rsid w:val="00D340E9"/>
    <w:rsid w:val="00D360F2"/>
    <w:rsid w:val="00D43612"/>
    <w:rsid w:val="00D4393D"/>
    <w:rsid w:val="00D50FCB"/>
    <w:rsid w:val="00D52CBF"/>
    <w:rsid w:val="00D541A5"/>
    <w:rsid w:val="00D576CA"/>
    <w:rsid w:val="00D60913"/>
    <w:rsid w:val="00D662AA"/>
    <w:rsid w:val="00D66F04"/>
    <w:rsid w:val="00D678AC"/>
    <w:rsid w:val="00D71A4C"/>
    <w:rsid w:val="00D71AF3"/>
    <w:rsid w:val="00D75213"/>
    <w:rsid w:val="00D75E7A"/>
    <w:rsid w:val="00D7711A"/>
    <w:rsid w:val="00D82847"/>
    <w:rsid w:val="00D82A0E"/>
    <w:rsid w:val="00D83918"/>
    <w:rsid w:val="00D83D1B"/>
    <w:rsid w:val="00D86B5F"/>
    <w:rsid w:val="00D90043"/>
    <w:rsid w:val="00D91D64"/>
    <w:rsid w:val="00D92D6A"/>
    <w:rsid w:val="00D93DB5"/>
    <w:rsid w:val="00D979C6"/>
    <w:rsid w:val="00DA3C33"/>
    <w:rsid w:val="00DA4AB8"/>
    <w:rsid w:val="00DC50E2"/>
    <w:rsid w:val="00DC54A0"/>
    <w:rsid w:val="00DC6C9C"/>
    <w:rsid w:val="00DD0624"/>
    <w:rsid w:val="00DD13B0"/>
    <w:rsid w:val="00DD2B6E"/>
    <w:rsid w:val="00DD5838"/>
    <w:rsid w:val="00DE13B8"/>
    <w:rsid w:val="00DE7055"/>
    <w:rsid w:val="00DE71AB"/>
    <w:rsid w:val="00DF7145"/>
    <w:rsid w:val="00DF7327"/>
    <w:rsid w:val="00DF7EE0"/>
    <w:rsid w:val="00E0295D"/>
    <w:rsid w:val="00E0396B"/>
    <w:rsid w:val="00E13CDE"/>
    <w:rsid w:val="00E14620"/>
    <w:rsid w:val="00E14817"/>
    <w:rsid w:val="00E17269"/>
    <w:rsid w:val="00E20891"/>
    <w:rsid w:val="00E2190B"/>
    <w:rsid w:val="00E219CD"/>
    <w:rsid w:val="00E2317A"/>
    <w:rsid w:val="00E2682A"/>
    <w:rsid w:val="00E27678"/>
    <w:rsid w:val="00E27B1D"/>
    <w:rsid w:val="00E33D2D"/>
    <w:rsid w:val="00E340A7"/>
    <w:rsid w:val="00E34208"/>
    <w:rsid w:val="00E36C8F"/>
    <w:rsid w:val="00E37290"/>
    <w:rsid w:val="00E37A55"/>
    <w:rsid w:val="00E37E11"/>
    <w:rsid w:val="00E41C6F"/>
    <w:rsid w:val="00E46AA5"/>
    <w:rsid w:val="00E52467"/>
    <w:rsid w:val="00E52D98"/>
    <w:rsid w:val="00E5499A"/>
    <w:rsid w:val="00E54B1B"/>
    <w:rsid w:val="00E55D87"/>
    <w:rsid w:val="00E571E1"/>
    <w:rsid w:val="00E60A37"/>
    <w:rsid w:val="00E62221"/>
    <w:rsid w:val="00E62923"/>
    <w:rsid w:val="00E653F0"/>
    <w:rsid w:val="00E66C96"/>
    <w:rsid w:val="00E672EF"/>
    <w:rsid w:val="00E70FE6"/>
    <w:rsid w:val="00E730A5"/>
    <w:rsid w:val="00E74AE4"/>
    <w:rsid w:val="00E76535"/>
    <w:rsid w:val="00E811F3"/>
    <w:rsid w:val="00E85F91"/>
    <w:rsid w:val="00E87734"/>
    <w:rsid w:val="00E95ED8"/>
    <w:rsid w:val="00EA2492"/>
    <w:rsid w:val="00EA63E1"/>
    <w:rsid w:val="00EB2C4D"/>
    <w:rsid w:val="00EB32E9"/>
    <w:rsid w:val="00EB3F46"/>
    <w:rsid w:val="00EB45CB"/>
    <w:rsid w:val="00EB78F4"/>
    <w:rsid w:val="00EC51B6"/>
    <w:rsid w:val="00ED58B7"/>
    <w:rsid w:val="00EE0ED9"/>
    <w:rsid w:val="00EE23B1"/>
    <w:rsid w:val="00EE2E55"/>
    <w:rsid w:val="00EE456E"/>
    <w:rsid w:val="00EF017C"/>
    <w:rsid w:val="00EF1C05"/>
    <w:rsid w:val="00EF3951"/>
    <w:rsid w:val="00EF6426"/>
    <w:rsid w:val="00EF6552"/>
    <w:rsid w:val="00F017DE"/>
    <w:rsid w:val="00F02006"/>
    <w:rsid w:val="00F0405C"/>
    <w:rsid w:val="00F0574A"/>
    <w:rsid w:val="00F16179"/>
    <w:rsid w:val="00F21266"/>
    <w:rsid w:val="00F215D8"/>
    <w:rsid w:val="00F30624"/>
    <w:rsid w:val="00F33149"/>
    <w:rsid w:val="00F33605"/>
    <w:rsid w:val="00F33A99"/>
    <w:rsid w:val="00F355C1"/>
    <w:rsid w:val="00F35D21"/>
    <w:rsid w:val="00F4288C"/>
    <w:rsid w:val="00F436C3"/>
    <w:rsid w:val="00F4528C"/>
    <w:rsid w:val="00F460CA"/>
    <w:rsid w:val="00F51D3D"/>
    <w:rsid w:val="00F545FC"/>
    <w:rsid w:val="00F54872"/>
    <w:rsid w:val="00F56D4C"/>
    <w:rsid w:val="00F60098"/>
    <w:rsid w:val="00F658F3"/>
    <w:rsid w:val="00F671B9"/>
    <w:rsid w:val="00F676D0"/>
    <w:rsid w:val="00F67C74"/>
    <w:rsid w:val="00F70353"/>
    <w:rsid w:val="00F72977"/>
    <w:rsid w:val="00F75F46"/>
    <w:rsid w:val="00F8016B"/>
    <w:rsid w:val="00F804E1"/>
    <w:rsid w:val="00F838EB"/>
    <w:rsid w:val="00F86699"/>
    <w:rsid w:val="00F874CE"/>
    <w:rsid w:val="00F87ABC"/>
    <w:rsid w:val="00F87F88"/>
    <w:rsid w:val="00F90A9F"/>
    <w:rsid w:val="00F91DF6"/>
    <w:rsid w:val="00F94745"/>
    <w:rsid w:val="00F952A4"/>
    <w:rsid w:val="00F962E3"/>
    <w:rsid w:val="00FA3F66"/>
    <w:rsid w:val="00FB2706"/>
    <w:rsid w:val="00FB3374"/>
    <w:rsid w:val="00FB43DA"/>
    <w:rsid w:val="00FB67DE"/>
    <w:rsid w:val="00FD1E84"/>
    <w:rsid w:val="00FD23CD"/>
    <w:rsid w:val="00FD659C"/>
    <w:rsid w:val="00FD68B9"/>
    <w:rsid w:val="00FD6CB9"/>
    <w:rsid w:val="00FE1372"/>
    <w:rsid w:val="00FE3081"/>
    <w:rsid w:val="00FE3E3B"/>
    <w:rsid w:val="00FE689C"/>
    <w:rsid w:val="00FE7134"/>
    <w:rsid w:val="00FE7D87"/>
    <w:rsid w:val="00FF31D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0D9"/>
    <w:pPr>
      <w:spacing w:before="120" w:after="120"/>
    </w:pPr>
    <w:rPr>
      <w:rFonts w:ascii="Arial" w:hAnsi="Arial"/>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
    <w:basedOn w:val="Normal"/>
    <w:autoRedefine/>
    <w:qFormat/>
    <w:rsid w:val="009D0375"/>
    <w:pPr>
      <w:spacing w:before="0"/>
      <w:ind w:left="142" w:hanging="142"/>
      <w:jc w:val="both"/>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uiPriority w:val="99"/>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uiPriority w:val="99"/>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 w:type="character" w:customStyle="1" w:styleId="UnresolvedMention1">
    <w:name w:val="Unresolved Mention1"/>
    <w:basedOn w:val="DefaultParagraphFont"/>
    <w:uiPriority w:val="99"/>
    <w:semiHidden/>
    <w:unhideWhenUsed/>
    <w:rsid w:val="003F3783"/>
    <w:rPr>
      <w:color w:val="605E5C"/>
      <w:shd w:val="clear" w:color="auto" w:fill="E1DFDD"/>
    </w:rPr>
  </w:style>
  <w:style w:type="paragraph" w:customStyle="1" w:styleId="paragraph">
    <w:name w:val="paragraph"/>
    <w:basedOn w:val="Normal"/>
    <w:rsid w:val="003F3783"/>
    <w:pPr>
      <w:spacing w:before="100" w:beforeAutospacing="1" w:after="100" w:afterAutospacing="1"/>
    </w:pPr>
    <w:rPr>
      <w:rFonts w:ascii="Times New Roman" w:hAnsi="Times New Roman"/>
      <w:snapToGrid/>
      <w:sz w:val="24"/>
      <w:szCs w:val="24"/>
      <w:lang w:val="fr-BE" w:eastAsia="fr-BE"/>
    </w:rPr>
  </w:style>
  <w:style w:type="character" w:styleId="UnresolvedMention">
    <w:name w:val="Unresolved Mention"/>
    <w:basedOn w:val="DefaultParagraphFont"/>
    <w:uiPriority w:val="99"/>
    <w:semiHidden/>
    <w:unhideWhenUsed/>
    <w:rsid w:val="006A6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47653789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ederik@zylab.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pi.ec.europa.eu/document/download/06a20f37-8529-4712-8cbf-1d527a68717a_en?filename=privacy-statement-indirect-managemen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13.%20EULEX%20KOSOVO%20PRIVACY%20STATEMENT.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B7ED-67BE-46AA-9A80-221A7F9A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2853</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18429</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Edona Zeneli</cp:lastModifiedBy>
  <cp:revision>10</cp:revision>
  <cp:lastPrinted>2014-02-11T14:32:00Z</cp:lastPrinted>
  <dcterms:created xsi:type="dcterms:W3CDTF">2025-06-24T07:50:00Z</dcterms:created>
  <dcterms:modified xsi:type="dcterms:W3CDTF">2025-08-06T12:01:00Z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MSIP_Label_6bd9ddd1-4d20-43f6-abfa-fc3c07406f94_Enabled">
    <vt:lpwstr>true</vt:lpwstr>
  </property>
  <property fmtid="{D5CDD505-2E9C-101B-9397-08002B2CF9AE}" pid="4" name="MSIP_Label_6bd9ddd1-4d20-43f6-abfa-fc3c07406f94_SetDate">
    <vt:lpwstr>2023-01-30T14:59:56Z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80bce80d-9a0a-4ba6-ad51-296613edf76f</vt:lpwstr>
  </property>
  <property fmtid="{D5CDD505-2E9C-101B-9397-08002B2CF9AE}" pid="9" name="MSIP_Label_6bd9ddd1-4d20-43f6-abfa-fc3c07406f94_ContentBits">
    <vt:lpwstr>0</vt:lpwstr>
  </property>
</Properties>
</file>