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306C392B" w:rsidR="004759A5" w:rsidRDefault="0000084C" w:rsidP="00EA6C7C">
      <w:pPr>
        <w:jc w:val="center"/>
        <w:rPr>
          <w:b/>
          <w:sz w:val="28"/>
          <w:szCs w:val="28"/>
          <w:lang w:val="en-GB"/>
        </w:rPr>
      </w:pPr>
      <w:r>
        <w:rPr>
          <w:b/>
          <w:sz w:val="28"/>
          <w:szCs w:val="28"/>
          <w:lang w:val="en-GB"/>
        </w:rPr>
        <w:t xml:space="preserve"> </w:t>
      </w:r>
      <w:r w:rsidR="00C66544">
        <w:rPr>
          <w:b/>
          <w:sz w:val="28"/>
          <w:szCs w:val="28"/>
          <w:lang w:val="en-GB"/>
        </w:rPr>
        <w:t xml:space="preserve">Additional </w:t>
      </w:r>
      <w:r w:rsidR="003C15AF">
        <w:rPr>
          <w:b/>
          <w:sz w:val="28"/>
          <w:szCs w:val="28"/>
          <w:lang w:val="en-GB"/>
        </w:rPr>
        <w:t>information about the Contract Notice</w:t>
      </w:r>
    </w:p>
    <w:p w14:paraId="215FEE74" w14:textId="77777777" w:rsidR="00CD33C5" w:rsidRDefault="00CD33C5" w:rsidP="00C102BD">
      <w:pPr>
        <w:jc w:val="center"/>
        <w:rPr>
          <w:b/>
          <w:sz w:val="28"/>
          <w:szCs w:val="28"/>
          <w:lang w:val="en-GB"/>
        </w:rPr>
      </w:pPr>
    </w:p>
    <w:p w14:paraId="7D561C90" w14:textId="369E0415" w:rsidR="00C102BD" w:rsidRDefault="00B77C8E" w:rsidP="00C102BD">
      <w:pPr>
        <w:jc w:val="center"/>
        <w:rPr>
          <w:rStyle w:val="Strong"/>
          <w:sz w:val="22"/>
          <w:szCs w:val="22"/>
          <w:lang w:val="en-GB"/>
        </w:rPr>
      </w:pPr>
      <w:r w:rsidRPr="00B77C8E">
        <w:rPr>
          <w:b/>
          <w:sz w:val="28"/>
          <w:szCs w:val="28"/>
          <w:lang w:val="en-GB"/>
        </w:rPr>
        <w:t>Fleet and fuel management System No.5</w:t>
      </w:r>
      <w:r w:rsidR="00C102BD" w:rsidRPr="00571687">
        <w:rPr>
          <w:rStyle w:val="Strong"/>
          <w:sz w:val="28"/>
          <w:szCs w:val="28"/>
          <w:lang w:val="en-GB"/>
        </w:rPr>
        <w:br/>
      </w:r>
      <w:r w:rsidR="00C102BD">
        <w:rPr>
          <w:rStyle w:val="Strong"/>
          <w:sz w:val="28"/>
          <w:szCs w:val="28"/>
          <w:lang w:val="en-GB"/>
        </w:rPr>
        <w:t>Pristina - Kosovo</w:t>
      </w:r>
    </w:p>
    <w:p w14:paraId="6B92B679" w14:textId="77777777" w:rsidR="00C102BD" w:rsidRPr="00EB0695" w:rsidRDefault="00C102BD" w:rsidP="00C102BD">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77AECD36" w14:textId="0A2B2B69" w:rsidR="00EA6C7C" w:rsidRPr="00E57C91" w:rsidRDefault="00C102BD" w:rsidP="00E57C91">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e Financing Agreement (</w:t>
      </w:r>
      <w:r w:rsidR="009D1ECF" w:rsidRPr="009D1ECF">
        <w:rPr>
          <w:rFonts w:eastAsia="Batang"/>
          <w:i/>
          <w:sz w:val="22"/>
          <w:szCs w:val="22"/>
        </w:rPr>
        <w:t>CFSP/2021/15/</w:t>
      </w:r>
      <w:r w:rsidRPr="00FE50CE">
        <w:rPr>
          <w:rFonts w:eastAsia="Batang"/>
          <w:i/>
          <w:sz w:val="22"/>
          <w:szCs w:val="22"/>
        </w:rPr>
        <w:t>EULEX Kosovo), is subject to the availability of funds of EULEX Kosovo through the conclusion of a new Financing Agreement between the European Commission and the EULEX Kosovo.</w:t>
      </w:r>
    </w:p>
    <w:p w14:paraId="08038A4F" w14:textId="77777777" w:rsidR="009A3842" w:rsidRPr="00C102BD" w:rsidRDefault="009A3842" w:rsidP="00170460">
      <w:pPr>
        <w:pStyle w:val="PRAGHeading2"/>
        <w:ind w:left="426" w:hanging="426"/>
        <w:rPr>
          <w:lang w:val="en-GB"/>
        </w:rPr>
      </w:pPr>
      <w:r w:rsidRPr="00C102BD">
        <w:rPr>
          <w:rStyle w:val="Strong"/>
          <w:sz w:val="22"/>
          <w:szCs w:val="22"/>
          <w:lang w:val="en-GB"/>
        </w:rPr>
        <w:t>Nature of contract</w:t>
      </w:r>
    </w:p>
    <w:p w14:paraId="0ADD9C4B" w14:textId="0D290746" w:rsidR="009A3842" w:rsidRDefault="005407B9" w:rsidP="00100AF9">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00C102BD" w:rsidRPr="00C102BD">
        <w:rPr>
          <w:rStyle w:val="Strong"/>
          <w:b w:val="0"/>
          <w:sz w:val="22"/>
          <w:szCs w:val="22"/>
          <w:lang w:val="en-GB"/>
        </w:rPr>
        <w:t>Global price</w:t>
      </w:r>
    </w:p>
    <w:p w14:paraId="122E89A5" w14:textId="3CAB92DB" w:rsidR="00470238" w:rsidRPr="00470238" w:rsidRDefault="00AA22A5" w:rsidP="00470238">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1E63484C" w14:textId="7157CCD3" w:rsidR="00470238" w:rsidRPr="00861781" w:rsidRDefault="00470238" w:rsidP="00470238">
      <w:pPr>
        <w:pStyle w:val="PRAGHeading2"/>
        <w:numPr>
          <w:ilvl w:val="0"/>
          <w:numId w:val="0"/>
        </w:numPr>
        <w:ind w:left="567"/>
        <w:rPr>
          <w:rStyle w:val="Strong"/>
          <w:sz w:val="22"/>
          <w:szCs w:val="22"/>
          <w:lang w:val="en-GB"/>
        </w:rPr>
      </w:pPr>
      <w:r w:rsidRPr="00861781">
        <w:rPr>
          <w:rStyle w:val="Strong"/>
          <w:b w:val="0"/>
          <w:sz w:val="22"/>
          <w:szCs w:val="22"/>
          <w:lang w:val="en-GB"/>
        </w:rPr>
        <w:t>Council Decision</w:t>
      </w:r>
      <w:r w:rsidR="00834237">
        <w:rPr>
          <w:rStyle w:val="Strong"/>
          <w:b w:val="0"/>
          <w:sz w:val="22"/>
          <w:szCs w:val="22"/>
          <w:lang w:val="en-GB"/>
        </w:rPr>
        <w:t xml:space="preserve"> (CFSP) 2021/904 of 03 June 2021</w:t>
      </w:r>
      <w:r w:rsidRPr="00861781">
        <w:rPr>
          <w:rStyle w:val="Strong"/>
          <w:b w:val="0"/>
          <w:sz w:val="22"/>
          <w:szCs w:val="22"/>
          <w:lang w:val="en-GB"/>
        </w:rPr>
        <w:t xml:space="preserve"> amending Joint Action 2008/124/CFSP on the European Union Rule of Law Mission in Kosovo (EULEX KOSOVO)</w:t>
      </w:r>
      <w:r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478CC59A" w:rsidR="00CA6501" w:rsidRPr="009D1ECF" w:rsidRDefault="00C102BD" w:rsidP="00170460">
      <w:pPr>
        <w:ind w:left="426" w:right="360"/>
        <w:rPr>
          <w:b/>
          <w:sz w:val="22"/>
          <w:szCs w:val="22"/>
          <w:lang w:val="en-GB"/>
        </w:rPr>
      </w:pPr>
      <w:r w:rsidRPr="009D1ECF">
        <w:rPr>
          <w:rStyle w:val="Strong"/>
          <w:b w:val="0"/>
          <w:sz w:val="22"/>
          <w:szCs w:val="22"/>
          <w:lang w:val="en-GB"/>
        </w:rPr>
        <w:t>CFSP</w:t>
      </w:r>
      <w:r w:rsidR="009D1ECF" w:rsidRPr="009D1ECF">
        <w:rPr>
          <w:rStyle w:val="Strong"/>
          <w:sz w:val="22"/>
          <w:szCs w:val="22"/>
          <w:lang w:val="en-GB"/>
        </w:rPr>
        <w:t>/</w:t>
      </w:r>
      <w:r w:rsidR="009D1ECF" w:rsidRPr="009D1ECF">
        <w:rPr>
          <w:sz w:val="22"/>
          <w:szCs w:val="22"/>
        </w:rPr>
        <w:t>2021/15/</w:t>
      </w:r>
      <w:r w:rsidRPr="009D1ECF">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EB71B3C" w:rsidR="00E27999" w:rsidRDefault="00C102BD"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5E7E0F7E"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53D36228"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5EB4D34F" w14:textId="77777777" w:rsidR="005526AA" w:rsidRPr="00C102BD" w:rsidRDefault="005526AA" w:rsidP="00170460">
      <w:pPr>
        <w:pStyle w:val="PRAGHeading2"/>
        <w:ind w:left="426" w:hanging="426"/>
        <w:rPr>
          <w:rStyle w:val="Strong"/>
          <w:sz w:val="22"/>
          <w:szCs w:val="22"/>
          <w:lang w:val="en-GB"/>
        </w:rPr>
      </w:pPr>
      <w:r w:rsidRPr="00C102BD">
        <w:rPr>
          <w:rStyle w:val="Strong"/>
          <w:sz w:val="22"/>
          <w:szCs w:val="22"/>
          <w:lang w:val="en-GB"/>
        </w:rPr>
        <w:t>Information meeting and/or site visit</w:t>
      </w:r>
    </w:p>
    <w:p w14:paraId="5A1B58D0" w14:textId="24A35F35" w:rsidR="005526AA" w:rsidRPr="0006275F" w:rsidRDefault="005526AA" w:rsidP="00170460">
      <w:pPr>
        <w:pStyle w:val="Blockquote"/>
        <w:ind w:left="426"/>
        <w:rPr>
          <w:sz w:val="22"/>
          <w:szCs w:val="22"/>
          <w:lang w:val="en-GB"/>
        </w:rPr>
      </w:pPr>
      <w:r w:rsidRPr="00C102BD">
        <w:rPr>
          <w:sz w:val="22"/>
          <w:szCs w:val="22"/>
          <w:lang w:val="en-GB"/>
        </w:rPr>
        <w:t>No information meeting is planned</w:t>
      </w:r>
    </w:p>
    <w:p w14:paraId="1990325F" w14:textId="77777777" w:rsidR="0006275F" w:rsidRPr="00C102BD" w:rsidRDefault="0006275F" w:rsidP="00AC4ADC">
      <w:pPr>
        <w:pStyle w:val="PRAGHeading2"/>
        <w:ind w:left="426" w:hanging="426"/>
        <w:jc w:val="both"/>
        <w:rPr>
          <w:rStyle w:val="Strong"/>
          <w:sz w:val="22"/>
          <w:szCs w:val="22"/>
          <w:lang w:val="en-GB"/>
        </w:rPr>
      </w:pPr>
      <w:r w:rsidRPr="00C102BD">
        <w:rPr>
          <w:rStyle w:val="Strong"/>
          <w:sz w:val="22"/>
          <w:szCs w:val="22"/>
          <w:lang w:val="en-GB"/>
        </w:rPr>
        <w:lastRenderedPageBreak/>
        <w:t>Tender validity</w:t>
      </w:r>
    </w:p>
    <w:p w14:paraId="4BE914BE" w14:textId="4965492F" w:rsidR="0006275F" w:rsidRPr="00C102BD" w:rsidRDefault="0006275F" w:rsidP="0025703B">
      <w:pPr>
        <w:pStyle w:val="PRAGHeading2"/>
        <w:numPr>
          <w:ilvl w:val="0"/>
          <w:numId w:val="0"/>
        </w:numPr>
        <w:ind w:left="426"/>
        <w:jc w:val="both"/>
        <w:rPr>
          <w:sz w:val="22"/>
          <w:szCs w:val="22"/>
          <w:lang w:val="en-GB"/>
        </w:rPr>
      </w:pPr>
      <w:r w:rsidRPr="00C102BD">
        <w:rPr>
          <w:sz w:val="22"/>
          <w:szCs w:val="22"/>
          <w:lang w:val="en-GB"/>
        </w:rPr>
        <w:t xml:space="preserve">Tenders must remain valid for a period of </w:t>
      </w:r>
      <w:r w:rsidR="00195EB7" w:rsidRPr="00C102BD">
        <w:rPr>
          <w:sz w:val="22"/>
          <w:szCs w:val="22"/>
          <w:lang w:val="en-GB"/>
        </w:rPr>
        <w:t xml:space="preserve">3 months </w:t>
      </w:r>
      <w:r w:rsidRPr="00C102BD">
        <w:rPr>
          <w:sz w:val="22"/>
          <w:szCs w:val="22"/>
          <w:lang w:val="en-GB"/>
        </w:rPr>
        <w:t xml:space="preserve">after the deadline for submission of tenders. In exceptional circumstances, the </w:t>
      </w:r>
      <w:r w:rsidR="00246FE9" w:rsidRPr="00C102BD">
        <w:rPr>
          <w:sz w:val="22"/>
          <w:szCs w:val="22"/>
          <w:lang w:val="en-GB"/>
        </w:rPr>
        <w:t>c</w:t>
      </w:r>
      <w:r w:rsidRPr="00C102BD">
        <w:rPr>
          <w:sz w:val="22"/>
          <w:szCs w:val="22"/>
          <w:lang w:val="en-GB"/>
        </w:rPr>
        <w:t xml:space="preserve">ontracting </w:t>
      </w:r>
      <w:r w:rsidR="00246FE9" w:rsidRPr="00C102BD">
        <w:rPr>
          <w:sz w:val="22"/>
          <w:szCs w:val="22"/>
          <w:lang w:val="en-GB"/>
        </w:rPr>
        <w:t>a</w:t>
      </w:r>
      <w:r w:rsidRPr="00C102BD">
        <w:rPr>
          <w:sz w:val="22"/>
          <w:szCs w:val="22"/>
          <w:lang w:val="en-GB"/>
        </w:rPr>
        <w:t>uthority may, before the validity period expires, request that tenderers extend the validity of tenders for a specific period.</w:t>
      </w:r>
    </w:p>
    <w:p w14:paraId="47CD99A2" w14:textId="4DB5752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Shortlist alliances prohibited </w:t>
      </w:r>
    </w:p>
    <w:p w14:paraId="358BC92C" w14:textId="455C3448" w:rsidR="00AA22A5"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Any </w:t>
      </w:r>
      <w:r w:rsidR="00A02A0B" w:rsidRPr="00C102BD">
        <w:rPr>
          <w:rStyle w:val="Strong"/>
          <w:b w:val="0"/>
          <w:sz w:val="22"/>
          <w:szCs w:val="22"/>
          <w:lang w:val="en-GB"/>
        </w:rPr>
        <w:t xml:space="preserve">tenders </w:t>
      </w:r>
      <w:r w:rsidRPr="00C102BD">
        <w:rPr>
          <w:rStyle w:val="Strong"/>
          <w:b w:val="0"/>
          <w:sz w:val="22"/>
          <w:szCs w:val="22"/>
          <w:lang w:val="en-GB"/>
        </w:rPr>
        <w:t xml:space="preserve">received from </w:t>
      </w:r>
      <w:r w:rsidR="00A02A0B" w:rsidRPr="00C102BD">
        <w:rPr>
          <w:rStyle w:val="Strong"/>
          <w:b w:val="0"/>
          <w:sz w:val="22"/>
          <w:szCs w:val="22"/>
          <w:lang w:val="en-GB"/>
        </w:rPr>
        <w:t xml:space="preserve">tenderers </w:t>
      </w:r>
      <w:r w:rsidRPr="00C102BD">
        <w:rPr>
          <w:rStyle w:val="Strong"/>
          <w:b w:val="0"/>
          <w:sz w:val="22"/>
          <w:szCs w:val="22"/>
          <w:lang w:val="en-GB"/>
        </w:rPr>
        <w:t xml:space="preserve">having a different composition that the ones </w:t>
      </w:r>
      <w:r w:rsidR="00A02A0B" w:rsidRPr="00C102BD">
        <w:rPr>
          <w:rStyle w:val="Strong"/>
          <w:b w:val="0"/>
          <w:sz w:val="22"/>
          <w:szCs w:val="22"/>
          <w:lang w:val="en-GB"/>
        </w:rPr>
        <w:t xml:space="preserve">mentioned in </w:t>
      </w:r>
      <w:r w:rsidRPr="00C102BD">
        <w:rPr>
          <w:rStyle w:val="Strong"/>
          <w:b w:val="0"/>
          <w:sz w:val="22"/>
          <w:szCs w:val="22"/>
          <w:lang w:val="en-GB"/>
        </w:rPr>
        <w:t>the</w:t>
      </w:r>
      <w:r w:rsidR="00A02A0B" w:rsidRPr="00C102BD">
        <w:rPr>
          <w:rStyle w:val="Strong"/>
          <w:b w:val="0"/>
          <w:sz w:val="22"/>
          <w:szCs w:val="22"/>
          <w:lang w:val="en-GB"/>
        </w:rPr>
        <w:t xml:space="preserve"> short-listed</w:t>
      </w:r>
      <w:r w:rsidRPr="00C102BD">
        <w:rPr>
          <w:rStyle w:val="Strong"/>
          <w:b w:val="0"/>
          <w:sz w:val="22"/>
          <w:szCs w:val="22"/>
          <w:lang w:val="en-GB"/>
        </w:rPr>
        <w:t xml:space="preserve"> application forms will be excluded from this restricted tender procedure, unless prior approval from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has been obtained – see </w:t>
      </w:r>
      <w:r w:rsidR="00246FE9" w:rsidRPr="00C102BD">
        <w:rPr>
          <w:rStyle w:val="Strong"/>
          <w:b w:val="0"/>
          <w:sz w:val="22"/>
          <w:szCs w:val="22"/>
          <w:lang w:val="en-GB"/>
        </w:rPr>
        <w:t>p</w:t>
      </w:r>
      <w:r w:rsidR="00A02A0B" w:rsidRPr="00C102BD">
        <w:rPr>
          <w:rStyle w:val="Strong"/>
          <w:b w:val="0"/>
          <w:sz w:val="22"/>
          <w:szCs w:val="22"/>
          <w:lang w:val="en-GB"/>
        </w:rPr>
        <w:t xml:space="preserve">ractical </w:t>
      </w:r>
      <w:r w:rsidR="00246FE9" w:rsidRPr="00C102BD">
        <w:rPr>
          <w:rStyle w:val="Strong"/>
          <w:b w:val="0"/>
          <w:sz w:val="22"/>
          <w:szCs w:val="22"/>
          <w:lang w:val="en-GB"/>
        </w:rPr>
        <w:t>g</w:t>
      </w:r>
      <w:r w:rsidR="00A02A0B" w:rsidRPr="00C102BD">
        <w:rPr>
          <w:rStyle w:val="Strong"/>
          <w:b w:val="0"/>
          <w:sz w:val="22"/>
          <w:szCs w:val="22"/>
          <w:lang w:val="en-GB"/>
        </w:rPr>
        <w:t xml:space="preserve">uide </w:t>
      </w:r>
      <w:r w:rsidR="00246FE9" w:rsidRPr="00C102BD">
        <w:rPr>
          <w:rStyle w:val="Strong"/>
          <w:b w:val="0"/>
          <w:sz w:val="22"/>
          <w:szCs w:val="22"/>
          <w:lang w:val="en-GB"/>
        </w:rPr>
        <w:t>2.6.3.</w:t>
      </w:r>
      <w:r w:rsidRPr="00C102BD">
        <w:rPr>
          <w:rStyle w:val="Strong"/>
          <w:b w:val="0"/>
          <w:sz w:val="22"/>
          <w:szCs w:val="22"/>
          <w:lang w:val="en-GB"/>
        </w:rPr>
        <w:t xml:space="preserve"> Short-listed </w:t>
      </w:r>
      <w:r w:rsidR="00A02A0B" w:rsidRPr="00C102BD">
        <w:rPr>
          <w:rStyle w:val="Strong"/>
          <w:b w:val="0"/>
          <w:sz w:val="22"/>
          <w:szCs w:val="22"/>
          <w:lang w:val="en-GB"/>
        </w:rPr>
        <w:t xml:space="preserve">candidates </w:t>
      </w:r>
      <w:r w:rsidRPr="00C102BD">
        <w:rPr>
          <w:rStyle w:val="Strong"/>
          <w:b w:val="0"/>
          <w:sz w:val="22"/>
          <w:szCs w:val="22"/>
          <w:lang w:val="en-GB"/>
        </w:rPr>
        <w:t>may not form alliances or subcontract to each other for the contract in question.</w:t>
      </w:r>
      <w:r>
        <w:rPr>
          <w:rStyle w:val="Strong"/>
          <w:b w:val="0"/>
          <w:sz w:val="22"/>
          <w:szCs w:val="22"/>
          <w:lang w:val="en-GB"/>
        </w:rPr>
        <w:t xml:space="preserve"> </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77777777"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w:t>
      </w:r>
      <w:proofErr w:type="gramStart"/>
      <w:r w:rsidRPr="00A761F0">
        <w:rPr>
          <w:sz w:val="22"/>
          <w:szCs w:val="22"/>
          <w:lang w:val="en-GB"/>
        </w:rPr>
        <w:t>of</w:t>
      </w:r>
      <w:proofErr w:type="gramEnd"/>
      <w:r w:rsidRPr="00A761F0">
        <w:rPr>
          <w:sz w:val="22"/>
          <w:szCs w:val="22"/>
          <w:lang w:val="en-GB"/>
        </w:rPr>
        <w:t xml:space="preserve">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372C9DB2" w14:textId="7D4E8332"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Number of </w:t>
      </w:r>
      <w:r w:rsidR="00246FE9" w:rsidRPr="00C102BD">
        <w:rPr>
          <w:rStyle w:val="Strong"/>
          <w:sz w:val="22"/>
          <w:szCs w:val="22"/>
          <w:lang w:val="en-GB"/>
        </w:rPr>
        <w:t>c</w:t>
      </w:r>
      <w:r w:rsidRPr="00C102BD">
        <w:rPr>
          <w:rStyle w:val="Strong"/>
          <w:sz w:val="22"/>
          <w:szCs w:val="22"/>
          <w:lang w:val="en-GB"/>
        </w:rPr>
        <w:t xml:space="preserve">andidates to be short-listed </w:t>
      </w:r>
    </w:p>
    <w:p w14:paraId="45AA8CA8" w14:textId="5B13CE58" w:rsidR="00AA22A5" w:rsidRPr="00C102BD"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On the basis of the applications received, </w:t>
      </w:r>
      <w:r w:rsidR="00FB4D99" w:rsidRPr="00C102BD">
        <w:rPr>
          <w:rStyle w:val="Strong"/>
          <w:b w:val="0"/>
          <w:sz w:val="22"/>
          <w:szCs w:val="22"/>
          <w:lang w:val="en-GB"/>
        </w:rPr>
        <w:t xml:space="preserve">between </w:t>
      </w:r>
      <w:r w:rsidRPr="00C102BD">
        <w:rPr>
          <w:rStyle w:val="Strong"/>
          <w:b w:val="0"/>
          <w:sz w:val="22"/>
          <w:szCs w:val="22"/>
          <w:lang w:val="en-GB"/>
        </w:rPr>
        <w:t xml:space="preserve">4 and </w:t>
      </w:r>
      <w:r w:rsidR="000974B6" w:rsidRPr="00C102BD">
        <w:rPr>
          <w:rStyle w:val="Strong"/>
          <w:b w:val="0"/>
          <w:sz w:val="22"/>
          <w:szCs w:val="22"/>
          <w:lang w:val="en-GB"/>
        </w:rPr>
        <w:t>8</w:t>
      </w:r>
      <w:r w:rsidR="00C102BD" w:rsidRPr="00C102BD">
        <w:rPr>
          <w:rStyle w:val="Strong"/>
          <w:b w:val="0"/>
          <w:sz w:val="22"/>
          <w:szCs w:val="22"/>
          <w:lang w:val="en-GB"/>
        </w:rPr>
        <w:t xml:space="preserve"> </w:t>
      </w:r>
      <w:r w:rsidR="00246FE9" w:rsidRPr="00C102BD">
        <w:rPr>
          <w:rStyle w:val="Strong"/>
          <w:b w:val="0"/>
          <w:sz w:val="22"/>
          <w:szCs w:val="22"/>
          <w:lang w:val="en-GB"/>
        </w:rPr>
        <w:t>c</w:t>
      </w:r>
      <w:r w:rsidRPr="00C102BD">
        <w:rPr>
          <w:rStyle w:val="Strong"/>
          <w:b w:val="0"/>
          <w:sz w:val="22"/>
          <w:szCs w:val="22"/>
          <w:lang w:val="en-GB"/>
        </w:rPr>
        <w:t xml:space="preserve">andidates will be invited to submit detailed tenders for this contract. If the number of eligible </w:t>
      </w:r>
      <w:r w:rsidR="00246FE9" w:rsidRPr="00C102BD">
        <w:rPr>
          <w:rStyle w:val="Strong"/>
          <w:b w:val="0"/>
          <w:sz w:val="22"/>
          <w:szCs w:val="22"/>
          <w:lang w:val="en-GB"/>
        </w:rPr>
        <w:t>c</w:t>
      </w:r>
      <w:r w:rsidR="000974B6" w:rsidRPr="00C102BD">
        <w:rPr>
          <w:rStyle w:val="Strong"/>
          <w:b w:val="0"/>
          <w:sz w:val="22"/>
          <w:szCs w:val="22"/>
          <w:lang w:val="en-GB"/>
        </w:rPr>
        <w:t>andidates</w:t>
      </w:r>
      <w:r w:rsidRPr="00C102BD">
        <w:rPr>
          <w:rStyle w:val="Strong"/>
          <w:b w:val="0"/>
          <w:sz w:val="22"/>
          <w:szCs w:val="22"/>
          <w:lang w:val="en-GB"/>
        </w:rPr>
        <w:t xml:space="preserve"> meeting the selection criteria is less than the minimum of 4,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may invite the </w:t>
      </w:r>
      <w:r w:rsidR="00246FE9" w:rsidRPr="00C102BD">
        <w:rPr>
          <w:rStyle w:val="Strong"/>
          <w:b w:val="0"/>
          <w:sz w:val="22"/>
          <w:szCs w:val="22"/>
          <w:lang w:val="en-GB"/>
        </w:rPr>
        <w:t>c</w:t>
      </w:r>
      <w:r w:rsidRPr="00C102BD">
        <w:rPr>
          <w:rStyle w:val="Strong"/>
          <w:b w:val="0"/>
          <w:sz w:val="22"/>
          <w:szCs w:val="22"/>
          <w:lang w:val="en-GB"/>
        </w:rPr>
        <w:t xml:space="preserve">andidates who satisfy the criteria to submit a tender. If the number of eligible </w:t>
      </w:r>
      <w:r w:rsidR="00246FE9" w:rsidRPr="00C102BD">
        <w:rPr>
          <w:rStyle w:val="Strong"/>
          <w:b w:val="0"/>
          <w:sz w:val="22"/>
          <w:szCs w:val="22"/>
          <w:lang w:val="en-GB"/>
        </w:rPr>
        <w:t>c</w:t>
      </w:r>
      <w:r w:rsidRPr="00C102BD">
        <w:rPr>
          <w:rStyle w:val="Strong"/>
          <w:b w:val="0"/>
          <w:sz w:val="22"/>
          <w:szCs w:val="22"/>
          <w:lang w:val="en-GB"/>
        </w:rPr>
        <w:t>andidates meeting the selection criteria is more than the maximum</w:t>
      </w:r>
      <w:r w:rsidR="000974B6" w:rsidRPr="00C102BD">
        <w:rPr>
          <w:rStyle w:val="Strong"/>
          <w:b w:val="0"/>
          <w:sz w:val="22"/>
          <w:szCs w:val="22"/>
          <w:lang w:val="en-GB"/>
        </w:rPr>
        <w:t xml:space="preserve"> allowed</w:t>
      </w:r>
      <w:r w:rsidRPr="00C102BD">
        <w:rPr>
          <w:rStyle w:val="Strong"/>
          <w:b w:val="0"/>
          <w:sz w:val="22"/>
          <w:szCs w:val="22"/>
          <w:lang w:val="en-GB"/>
        </w:rPr>
        <w:t xml:space="preserve">,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uthority will rank them using the re-examination criteria stated below.</w:t>
      </w:r>
    </w:p>
    <w:p w14:paraId="3AE2DE73"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date of </w:t>
      </w:r>
      <w:r w:rsidR="00246FE9" w:rsidRPr="00C102BD">
        <w:rPr>
          <w:rStyle w:val="Strong"/>
          <w:sz w:val="22"/>
          <w:szCs w:val="22"/>
          <w:lang w:val="en-GB"/>
        </w:rPr>
        <w:t>i</w:t>
      </w:r>
      <w:r w:rsidRPr="00C102BD">
        <w:rPr>
          <w:rStyle w:val="Strong"/>
          <w:sz w:val="22"/>
          <w:szCs w:val="22"/>
          <w:lang w:val="en-GB"/>
        </w:rPr>
        <w:t xml:space="preserve">nvitation to tender </w:t>
      </w:r>
    </w:p>
    <w:p w14:paraId="2C7CBE51" w14:textId="45F8C28C" w:rsidR="00AA22A5" w:rsidRPr="00C102BD" w:rsidRDefault="00B77C8E" w:rsidP="00AA22A5">
      <w:pPr>
        <w:pStyle w:val="PRAGHeading2"/>
        <w:numPr>
          <w:ilvl w:val="0"/>
          <w:numId w:val="0"/>
        </w:numPr>
        <w:ind w:left="426"/>
        <w:rPr>
          <w:i/>
          <w:lang w:val="en-GB"/>
        </w:rPr>
      </w:pPr>
      <w:r>
        <w:rPr>
          <w:rStyle w:val="Emphasis"/>
          <w:i w:val="0"/>
          <w:sz w:val="22"/>
          <w:szCs w:val="22"/>
          <w:lang w:val="en-GB"/>
        </w:rPr>
        <w:t>October/November</w:t>
      </w:r>
      <w:r w:rsidR="009D1ECF">
        <w:rPr>
          <w:rStyle w:val="Emphasis"/>
          <w:i w:val="0"/>
          <w:sz w:val="22"/>
          <w:szCs w:val="22"/>
          <w:lang w:val="en-GB"/>
        </w:rPr>
        <w:t xml:space="preserve"> 2021</w:t>
      </w:r>
    </w:p>
    <w:p w14:paraId="489DE96A"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6D1065FD" w14:textId="61DF42F1" w:rsidR="00AA22A5" w:rsidRDefault="009D1ECF" w:rsidP="00AA22A5">
      <w:pPr>
        <w:pStyle w:val="PRAGHeading2"/>
        <w:numPr>
          <w:ilvl w:val="0"/>
          <w:numId w:val="0"/>
        </w:numPr>
        <w:ind w:left="426"/>
        <w:rPr>
          <w:rStyle w:val="Emphasis"/>
          <w:i w:val="0"/>
          <w:sz w:val="22"/>
          <w:szCs w:val="22"/>
          <w:lang w:val="en-GB"/>
        </w:rPr>
      </w:pPr>
      <w:r>
        <w:rPr>
          <w:rStyle w:val="Emphasis"/>
          <w:i w:val="0"/>
          <w:sz w:val="22"/>
          <w:szCs w:val="22"/>
          <w:lang w:val="en-GB"/>
        </w:rPr>
        <w:t>February 2022</w:t>
      </w:r>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19DAC722" w14:textId="77777777" w:rsidR="00C102BD" w:rsidRPr="00C102BD" w:rsidRDefault="00C102BD" w:rsidP="00C102BD">
      <w:pPr>
        <w:pStyle w:val="PRAGHeading2"/>
        <w:numPr>
          <w:ilvl w:val="0"/>
          <w:numId w:val="0"/>
        </w:numPr>
        <w:ind w:left="426"/>
        <w:rPr>
          <w:rStyle w:val="Emphasis"/>
          <w:i w:val="0"/>
          <w:sz w:val="22"/>
          <w:szCs w:val="22"/>
          <w:lang w:val="en-GB"/>
        </w:rPr>
      </w:pPr>
      <w:r w:rsidRPr="00C102BD">
        <w:rPr>
          <w:rStyle w:val="Emphasis"/>
          <w:i w:val="0"/>
          <w:sz w:val="22"/>
          <w:szCs w:val="22"/>
          <w:lang w:val="en-GB"/>
        </w:rPr>
        <w:t>The period for implementing the tasks is twelve (12) months from the commencement date of the contract, although the contract may be terminated at short notice. (Article 19 of the special conditions of the contract included in the tender dossier).</w:t>
      </w:r>
    </w:p>
    <w:p w14:paraId="230455FA" w14:textId="68FC03A4" w:rsidR="00AA22A5" w:rsidRPr="00C102BD" w:rsidRDefault="00C102BD" w:rsidP="00C102BD">
      <w:pPr>
        <w:pStyle w:val="PRAGHeading2"/>
        <w:numPr>
          <w:ilvl w:val="0"/>
          <w:numId w:val="0"/>
        </w:numPr>
        <w:ind w:left="426"/>
        <w:rPr>
          <w:rStyle w:val="Emphasis"/>
          <w:i w:val="0"/>
          <w:sz w:val="22"/>
          <w:szCs w:val="22"/>
          <w:lang w:val="en-GB"/>
        </w:rPr>
      </w:pPr>
      <w:r w:rsidRPr="00C102BD">
        <w:rPr>
          <w:rStyle w:val="Emphasis"/>
          <w:i w:val="0"/>
          <w:sz w:val="22"/>
          <w:szCs w:val="22"/>
          <w:lang w:val="en-GB"/>
        </w:rPr>
        <w:t xml:space="preserve">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w:t>
      </w:r>
      <w:r w:rsidR="0090614F" w:rsidRPr="00C102BD">
        <w:rPr>
          <w:rStyle w:val="Emphasis"/>
          <w:i w:val="0"/>
          <w:sz w:val="22"/>
          <w:szCs w:val="22"/>
          <w:lang w:val="en-GB"/>
        </w:rPr>
        <w:t>fulfilment</w:t>
      </w:r>
      <w:r w:rsidRPr="00C102BD">
        <w:rPr>
          <w:rStyle w:val="Emphasis"/>
          <w:i w:val="0"/>
          <w:sz w:val="22"/>
          <w:szCs w:val="22"/>
          <w:lang w:val="en-GB"/>
        </w:rPr>
        <w:t xml:space="preserve"> of its obligations by the contractor.</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35FA35E3" w14:textId="77777777" w:rsidR="006134C6" w:rsidRDefault="006134C6" w:rsidP="00AA22A5">
      <w:pPr>
        <w:keepNext/>
        <w:keepLines/>
        <w:ind w:left="360"/>
        <w:jc w:val="center"/>
        <w:rPr>
          <w:rStyle w:val="Strong"/>
          <w:sz w:val="22"/>
          <w:szCs w:val="22"/>
          <w:lang w:val="en-GB"/>
        </w:rPr>
      </w:pPr>
    </w:p>
    <w:p w14:paraId="5AF21D0E" w14:textId="77777777" w:rsidR="006134C6" w:rsidRDefault="006134C6" w:rsidP="00AA22A5">
      <w:pPr>
        <w:keepNext/>
        <w:keepLines/>
        <w:ind w:left="360"/>
        <w:jc w:val="center"/>
        <w:rPr>
          <w:rStyle w:val="Strong"/>
          <w:sz w:val="22"/>
          <w:szCs w:val="22"/>
          <w:lang w:val="en-GB"/>
        </w:rPr>
      </w:pPr>
    </w:p>
    <w:p w14:paraId="0C72C03D" w14:textId="7AE7B939" w:rsidR="00AA22A5" w:rsidRPr="00DD2F41" w:rsidRDefault="00AA22A5" w:rsidP="00AA22A5">
      <w:pPr>
        <w:keepNext/>
        <w:keepLines/>
        <w:ind w:left="360"/>
        <w:jc w:val="center"/>
        <w:rPr>
          <w:rStyle w:val="Strong"/>
          <w:sz w:val="22"/>
          <w:szCs w:val="22"/>
          <w:lang w:val="en-GB"/>
        </w:rPr>
      </w:pPr>
      <w:r w:rsidRPr="00C45A53">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87AD86" w14:textId="726C3877" w:rsidR="00C102BD" w:rsidRDefault="00C102BD" w:rsidP="00C102BD">
      <w:pPr>
        <w:pStyle w:val="Blockquote"/>
        <w:jc w:val="both"/>
        <w:rPr>
          <w:rFonts w:eastAsia="Calibri"/>
          <w:snapToGrid/>
          <w:sz w:val="22"/>
          <w:szCs w:val="22"/>
          <w:lang w:val="en-GB"/>
        </w:rPr>
      </w:pPr>
      <w:r w:rsidRPr="00A0676B">
        <w:rPr>
          <w:sz w:val="22"/>
          <w:szCs w:val="22"/>
          <w:lang w:val="en-GB"/>
        </w:rPr>
        <w:t>The following selection criteria will be applied to candidates. In the case of applications submitted by a consortium, these selection criteria will be applied to the consortium as a whole unless specified otherwise. The selection criteria will not be applied to natural persons and single- member companies when they are sub-contractors</w:t>
      </w:r>
      <w:r w:rsidR="00681080">
        <w:rPr>
          <w:rFonts w:eastAsia="Calibri"/>
          <w:snapToGrid/>
          <w:sz w:val="22"/>
          <w:szCs w:val="22"/>
          <w:lang w:val="en-GB"/>
        </w:rPr>
        <w:t>.</w:t>
      </w:r>
    </w:p>
    <w:p w14:paraId="05A051BB" w14:textId="6308FFA6" w:rsidR="00681080" w:rsidRPr="00D225CC" w:rsidRDefault="00681080" w:rsidP="00C102BD">
      <w:pPr>
        <w:pStyle w:val="Blockquote"/>
        <w:jc w:val="both"/>
        <w:rPr>
          <w:sz w:val="22"/>
          <w:szCs w:val="22"/>
          <w:lang w:val="en-GB"/>
        </w:rPr>
      </w:pPr>
      <w:r w:rsidRPr="00681080">
        <w:rPr>
          <w:sz w:val="22"/>
          <w:szCs w:val="22"/>
          <w:lang w:val="en-GB"/>
        </w:rPr>
        <w:t>The selection criteria fo</w:t>
      </w:r>
      <w:r>
        <w:rPr>
          <w:sz w:val="22"/>
          <w:szCs w:val="22"/>
          <w:lang w:val="en-GB"/>
        </w:rPr>
        <w:t>r each tenderer are as follows:</w:t>
      </w:r>
    </w:p>
    <w:p w14:paraId="0B18C50D" w14:textId="77777777" w:rsidR="00C102BD" w:rsidRPr="00695DC6"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Economic and financial capacity of candidate</w:t>
      </w:r>
      <w:r w:rsidRPr="00695DC6">
        <w:rPr>
          <w:b/>
          <w:bCs/>
          <w:sz w:val="22"/>
          <w:szCs w:val="22"/>
        </w:rPr>
        <w:t xml:space="preserve"> (</w:t>
      </w:r>
      <w:r w:rsidRPr="00695DC6">
        <w:rPr>
          <w:sz w:val="22"/>
          <w:szCs w:val="22"/>
        </w:rPr>
        <w:t xml:space="preserve">based on item 3 of the application form). In case of a tenderer being a public body, equivalent information should be provided. The reference period which will be taken into account will be the last three years for which accounts have been closed. </w:t>
      </w:r>
    </w:p>
    <w:p w14:paraId="73D66F24" w14:textId="654C4A76" w:rsidR="00CA2603" w:rsidRPr="006A00D2" w:rsidRDefault="00CA2603" w:rsidP="00C102BD">
      <w:pPr>
        <w:pStyle w:val="ListParagraph"/>
        <w:ind w:left="0"/>
        <w:jc w:val="both"/>
        <w:rPr>
          <w:b/>
          <w:sz w:val="22"/>
          <w:szCs w:val="22"/>
          <w:lang w:val="en-GB"/>
        </w:rPr>
      </w:pPr>
      <w:r w:rsidRPr="00CA2603">
        <w:rPr>
          <w:lang w:val="en-GB"/>
        </w:rPr>
        <w:t>•</w:t>
      </w:r>
      <w:r w:rsidRPr="00CA2603">
        <w:rPr>
          <w:lang w:val="en-GB"/>
        </w:rPr>
        <w:tab/>
      </w:r>
      <w:r w:rsidRPr="00CA2603">
        <w:rPr>
          <w:sz w:val="22"/>
          <w:szCs w:val="22"/>
          <w:lang w:val="en-GB"/>
        </w:rPr>
        <w:t>The average a</w:t>
      </w:r>
      <w:r w:rsidR="00470238">
        <w:rPr>
          <w:sz w:val="22"/>
          <w:szCs w:val="22"/>
          <w:lang w:val="en-GB"/>
        </w:rPr>
        <w:t>nnual turnover of the Tenderer i</w:t>
      </w:r>
      <w:r w:rsidRPr="00CA2603">
        <w:rPr>
          <w:sz w:val="22"/>
          <w:szCs w:val="22"/>
          <w:lang w:val="en-GB"/>
        </w:rPr>
        <w:t xml:space="preserve">n the past three years must </w:t>
      </w:r>
      <w:r w:rsidR="006A00D2" w:rsidRPr="00CA2603">
        <w:rPr>
          <w:sz w:val="22"/>
          <w:szCs w:val="22"/>
          <w:lang w:val="en-GB"/>
        </w:rPr>
        <w:t xml:space="preserve">exceed </w:t>
      </w:r>
      <w:r w:rsidR="006A00D2" w:rsidRPr="006A00D2">
        <w:rPr>
          <w:b/>
          <w:sz w:val="22"/>
          <w:szCs w:val="22"/>
          <w:lang w:val="en-GB"/>
        </w:rPr>
        <w:t>100,000.00</w:t>
      </w:r>
      <w:r w:rsidR="00470238" w:rsidRPr="006A00D2">
        <w:rPr>
          <w:b/>
          <w:sz w:val="22"/>
          <w:szCs w:val="22"/>
          <w:lang w:val="en-GB"/>
        </w:rPr>
        <w:t xml:space="preserve"> Euros</w:t>
      </w:r>
      <w:r w:rsidRPr="006A00D2">
        <w:rPr>
          <w:b/>
          <w:sz w:val="22"/>
          <w:szCs w:val="22"/>
          <w:lang w:val="en-GB"/>
        </w:rPr>
        <w:t>.</w:t>
      </w:r>
    </w:p>
    <w:p w14:paraId="2B51B282" w14:textId="2492402D" w:rsidR="00C102BD" w:rsidRPr="008C5DD3" w:rsidRDefault="00C102BD" w:rsidP="00800859">
      <w:pPr>
        <w:pStyle w:val="Blockquote"/>
        <w:widowControl/>
        <w:numPr>
          <w:ilvl w:val="0"/>
          <w:numId w:val="21"/>
        </w:numPr>
        <w:snapToGrid w:val="0"/>
        <w:ind w:right="26"/>
        <w:jc w:val="both"/>
        <w:rPr>
          <w:sz w:val="22"/>
          <w:szCs w:val="22"/>
        </w:rPr>
      </w:pPr>
      <w:r w:rsidRPr="008C5DD3">
        <w:rPr>
          <w:b/>
          <w:bCs/>
          <w:sz w:val="22"/>
          <w:szCs w:val="22"/>
          <w:u w:val="single"/>
        </w:rPr>
        <w:t>Professional capacity of candidate</w:t>
      </w:r>
      <w:r w:rsidRPr="008C5DD3">
        <w:rPr>
          <w:b/>
          <w:bCs/>
          <w:sz w:val="22"/>
          <w:szCs w:val="22"/>
        </w:rPr>
        <w:t xml:space="preserve"> </w:t>
      </w:r>
      <w:r w:rsidRPr="008C5DD3">
        <w:rPr>
          <w:sz w:val="22"/>
          <w:szCs w:val="22"/>
        </w:rPr>
        <w:t>(based on items 4 and 5 of the</w:t>
      </w:r>
      <w:r w:rsidR="00800859">
        <w:rPr>
          <w:sz w:val="22"/>
          <w:szCs w:val="22"/>
        </w:rPr>
        <w:t xml:space="preserve"> application form). </w:t>
      </w:r>
      <w:r w:rsidR="00800859" w:rsidRPr="00800859">
        <w:rPr>
          <w:sz w:val="22"/>
          <w:szCs w:val="22"/>
        </w:rPr>
        <w:t>The reference period which will be taken into account will be the last three years preceding the submission deadline.</w:t>
      </w:r>
    </w:p>
    <w:p w14:paraId="17505F65" w14:textId="77777777" w:rsidR="00CA2603" w:rsidRPr="00CA2603" w:rsidRDefault="00CA2603" w:rsidP="00CA2603">
      <w:pPr>
        <w:pStyle w:val="Blockquote"/>
        <w:widowControl/>
        <w:numPr>
          <w:ilvl w:val="0"/>
          <w:numId w:val="29"/>
        </w:numPr>
        <w:snapToGrid w:val="0"/>
        <w:ind w:left="1080" w:right="0"/>
        <w:jc w:val="both"/>
        <w:rPr>
          <w:snapToGrid/>
          <w:sz w:val="22"/>
          <w:szCs w:val="22"/>
          <w:lang w:val="en-GB"/>
        </w:rPr>
      </w:pPr>
      <w:r w:rsidRPr="00CA2603">
        <w:rPr>
          <w:sz w:val="22"/>
          <w:szCs w:val="22"/>
        </w:rPr>
        <w:t>at least 10 staff employed by the candidate in fields related to this contract</w:t>
      </w:r>
      <w:r w:rsidRPr="00CA2603">
        <w:rPr>
          <w:sz w:val="22"/>
          <w:szCs w:val="22"/>
          <w:lang w:val="en-GB"/>
        </w:rPr>
        <w:t>; and</w:t>
      </w:r>
    </w:p>
    <w:p w14:paraId="016868AE" w14:textId="77777777" w:rsidR="00CA2603" w:rsidRPr="00CA2603" w:rsidRDefault="00CA2603" w:rsidP="00CA2603">
      <w:pPr>
        <w:pStyle w:val="Blockquote"/>
        <w:widowControl/>
        <w:numPr>
          <w:ilvl w:val="0"/>
          <w:numId w:val="29"/>
        </w:numPr>
        <w:shd w:val="clear" w:color="auto" w:fill="FFFFFF"/>
        <w:snapToGrid w:val="0"/>
        <w:spacing w:before="0" w:after="120"/>
        <w:ind w:left="1080"/>
        <w:jc w:val="both"/>
        <w:rPr>
          <w:color w:val="1F497D"/>
          <w:sz w:val="22"/>
          <w:szCs w:val="22"/>
          <w:lang w:val="en-GB"/>
        </w:rPr>
      </w:pPr>
      <w:r w:rsidRPr="00CA2603">
        <w:rPr>
          <w:sz w:val="22"/>
          <w:szCs w:val="22"/>
        </w:rPr>
        <w:t xml:space="preserve">The candidate has been operational for the past </w:t>
      </w:r>
      <w:r w:rsidRPr="00470238">
        <w:rPr>
          <w:sz w:val="22"/>
          <w:szCs w:val="22"/>
        </w:rPr>
        <w:t>three years</w:t>
      </w:r>
      <w:r w:rsidRPr="00CA2603">
        <w:rPr>
          <w:sz w:val="22"/>
          <w:szCs w:val="22"/>
        </w:rPr>
        <w:t xml:space="preserve"> </w:t>
      </w:r>
      <w:r w:rsidRPr="00470238">
        <w:rPr>
          <w:sz w:val="22"/>
          <w:szCs w:val="22"/>
        </w:rPr>
        <w:t xml:space="preserve">(2018, 2019, </w:t>
      </w:r>
      <w:proofErr w:type="gramStart"/>
      <w:r w:rsidRPr="00470238">
        <w:rPr>
          <w:sz w:val="22"/>
          <w:szCs w:val="22"/>
        </w:rPr>
        <w:t>2020</w:t>
      </w:r>
      <w:proofErr w:type="gramEnd"/>
      <w:r w:rsidRPr="00470238">
        <w:rPr>
          <w:sz w:val="22"/>
          <w:szCs w:val="22"/>
        </w:rPr>
        <w:t>).</w:t>
      </w:r>
    </w:p>
    <w:p w14:paraId="4B082BB9" w14:textId="77777777" w:rsidR="00C102BD" w:rsidRPr="00D55971" w:rsidRDefault="00C102BD" w:rsidP="00C102BD">
      <w:pPr>
        <w:pStyle w:val="ListParagraph"/>
        <w:ind w:left="0"/>
        <w:jc w:val="both"/>
      </w:pPr>
    </w:p>
    <w:p w14:paraId="138241A2" w14:textId="77777777" w:rsidR="00C102BD" w:rsidRPr="00695DC6"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 xml:space="preserve">Technical capacity of candidate </w:t>
      </w:r>
      <w:r w:rsidRPr="00695DC6">
        <w:rPr>
          <w:sz w:val="22"/>
          <w:szCs w:val="22"/>
        </w:rPr>
        <w:t>(based on items 5 and 6 of the application form). The reference period which will be taken into account will be the last three years from submission deadline.</w:t>
      </w:r>
      <w:r w:rsidRPr="00695DC6">
        <w:rPr>
          <w:color w:val="1F497D"/>
          <w:sz w:val="22"/>
          <w:szCs w:val="22"/>
        </w:rPr>
        <w:t xml:space="preserve"> </w:t>
      </w:r>
    </w:p>
    <w:p w14:paraId="7338E4ED" w14:textId="3E459F53" w:rsidR="00CA2603" w:rsidRPr="00CA2603" w:rsidRDefault="00CA2603" w:rsidP="00CA2603">
      <w:pPr>
        <w:widowControl/>
        <w:numPr>
          <w:ilvl w:val="0"/>
          <w:numId w:val="29"/>
        </w:numPr>
        <w:spacing w:before="0" w:after="120"/>
        <w:jc w:val="both"/>
        <w:rPr>
          <w:sz w:val="22"/>
          <w:szCs w:val="22"/>
        </w:rPr>
      </w:pPr>
      <w:r w:rsidRPr="00CA2603">
        <w:rPr>
          <w:sz w:val="22"/>
          <w:szCs w:val="22"/>
        </w:rPr>
        <w:t xml:space="preserve">the </w:t>
      </w:r>
      <w:r w:rsidRPr="00CA2603">
        <w:rPr>
          <w:sz w:val="22"/>
          <w:szCs w:val="22"/>
          <w:lang w:val="en-GB"/>
        </w:rPr>
        <w:t xml:space="preserve">candidate </w:t>
      </w:r>
      <w:r w:rsidRPr="00CA2603">
        <w:rPr>
          <w:sz w:val="22"/>
          <w:szCs w:val="22"/>
        </w:rPr>
        <w:t>has completed successfully at least one (1) project</w:t>
      </w:r>
      <w:r w:rsidRPr="00CA2603">
        <w:rPr>
          <w:b/>
          <w:bCs/>
          <w:sz w:val="22"/>
          <w:szCs w:val="22"/>
        </w:rPr>
        <w:t xml:space="preserve">, </w:t>
      </w:r>
      <w:r w:rsidRPr="00CA2603">
        <w:rPr>
          <w:b/>
          <w:bCs/>
          <w:sz w:val="22"/>
          <w:szCs w:val="22"/>
          <w:u w:val="single"/>
        </w:rPr>
        <w:t>of analogous scope of service provided for a fleet of a minimum of 250 vehicles in the area of Fleet Monitoring as well as Fleet Maintenance Support (in house and outsourced),</w:t>
      </w:r>
      <w:r w:rsidRPr="00CA2603">
        <w:rPr>
          <w:sz w:val="22"/>
          <w:szCs w:val="22"/>
        </w:rPr>
        <w:t xml:space="preserve"> with a budget of at least </w:t>
      </w:r>
      <w:r w:rsidR="00470238" w:rsidRPr="00470238">
        <w:rPr>
          <w:b/>
          <w:sz w:val="22"/>
          <w:szCs w:val="22"/>
        </w:rPr>
        <w:t>90,000.00 Euros</w:t>
      </w:r>
      <w:r w:rsidRPr="00CA2603">
        <w:rPr>
          <w:sz w:val="22"/>
          <w:szCs w:val="22"/>
        </w:rPr>
        <w:t xml:space="preserve"> in </w:t>
      </w:r>
      <w:r w:rsidRPr="00CA2603">
        <w:rPr>
          <w:b/>
          <w:bCs/>
          <w:sz w:val="22"/>
          <w:szCs w:val="22"/>
          <w:u w:val="single"/>
        </w:rPr>
        <w:t>fields directly associated to this contract</w:t>
      </w:r>
      <w:r w:rsidRPr="00CA2603">
        <w:rPr>
          <w:sz w:val="22"/>
          <w:szCs w:val="22"/>
        </w:rPr>
        <w:t xml:space="preserve"> in the past three years from the tender submission deadline (</w:t>
      </w:r>
      <w:r w:rsidR="00470238">
        <w:rPr>
          <w:sz w:val="22"/>
          <w:szCs w:val="22"/>
        </w:rPr>
        <w:t xml:space="preserve">i.e. from </w:t>
      </w:r>
      <w:r w:rsidRPr="00CA2603">
        <w:rPr>
          <w:sz w:val="22"/>
          <w:szCs w:val="22"/>
        </w:rPr>
        <w:t>2018 to 2021)</w:t>
      </w:r>
    </w:p>
    <w:p w14:paraId="097AF51B" w14:textId="55DBCB21" w:rsidR="00BA21BF" w:rsidRPr="00BA21BF" w:rsidRDefault="00BA21BF" w:rsidP="00BA21BF">
      <w:pPr>
        <w:widowControl/>
        <w:spacing w:before="0" w:after="120"/>
        <w:jc w:val="both"/>
        <w:rPr>
          <w:sz w:val="22"/>
          <w:szCs w:val="22"/>
          <w:lang w:val="en-GB"/>
        </w:rPr>
      </w:pPr>
      <w:r w:rsidRPr="00BA21BF">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w:t>
      </w:r>
      <w:r w:rsidR="00396669" w:rsidRPr="00BA21BF">
        <w:rPr>
          <w:sz w:val="22"/>
          <w:szCs w:val="22"/>
          <w:lang w:val="en-GB"/>
        </w:rPr>
        <w:t>candidate has</w:t>
      </w:r>
      <w:r w:rsidRPr="00BA21BF">
        <w:rPr>
          <w:sz w:val="22"/>
          <w:szCs w:val="22"/>
          <w:lang w:val="en-GB"/>
        </w:rPr>
        <w:t xml:space="preserve"> successfully completed must be clear from the documentary evidence, together with a description of the nature of the services provided if the selection criteria relating to the pertinence of the experience have been used.</w:t>
      </w:r>
    </w:p>
    <w:p w14:paraId="7F6657C4" w14:textId="08F88497" w:rsidR="00104CCC" w:rsidRPr="00C102BD" w:rsidRDefault="00104CCC" w:rsidP="0025703B">
      <w:pPr>
        <w:pStyle w:val="Blockquote"/>
        <w:ind w:left="480"/>
        <w:jc w:val="both"/>
        <w:rPr>
          <w:sz w:val="22"/>
          <w:szCs w:val="22"/>
          <w:lang w:val="en-GB"/>
        </w:rPr>
      </w:pPr>
      <w:r w:rsidRPr="00C102BD">
        <w:rPr>
          <w:sz w:val="22"/>
          <w:szCs w:val="22"/>
          <w:lang w:val="en-GB"/>
        </w:rPr>
        <w:t xml:space="preserve">Previous experience which caused breach of contract and termination by a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shall not be used as reference. </w:t>
      </w:r>
    </w:p>
    <w:p w14:paraId="1441E8A7" w14:textId="77777777" w:rsidR="001B078F" w:rsidRPr="00C102BD" w:rsidRDefault="001B078F" w:rsidP="003907E7">
      <w:pPr>
        <w:pStyle w:val="Blockquote"/>
        <w:ind w:left="480"/>
        <w:jc w:val="both"/>
        <w:rPr>
          <w:sz w:val="22"/>
          <w:szCs w:val="22"/>
          <w:lang w:val="en-GB"/>
        </w:rPr>
      </w:pPr>
    </w:p>
    <w:p w14:paraId="3F86F841" w14:textId="77777777" w:rsidR="001B078F" w:rsidRPr="00C102BD" w:rsidRDefault="001B078F" w:rsidP="003907E7">
      <w:pPr>
        <w:pStyle w:val="Blockquote"/>
        <w:ind w:left="480"/>
        <w:jc w:val="both"/>
        <w:rPr>
          <w:sz w:val="22"/>
          <w:szCs w:val="22"/>
          <w:lang w:val="en-GB"/>
        </w:rPr>
      </w:pPr>
      <w:r w:rsidRPr="00C102BD">
        <w:rPr>
          <w:sz w:val="22"/>
          <w:szCs w:val="22"/>
          <w:lang w:val="en-GB"/>
        </w:rPr>
        <w:t>Capacity-providing entities</w:t>
      </w:r>
    </w:p>
    <w:p w14:paraId="37EEA82F" w14:textId="6971B73A" w:rsidR="003907E7" w:rsidRPr="00C102BD" w:rsidRDefault="00104CCC" w:rsidP="003907E7">
      <w:pPr>
        <w:pStyle w:val="Blockquote"/>
        <w:ind w:left="480"/>
        <w:jc w:val="both"/>
        <w:rPr>
          <w:sz w:val="22"/>
          <w:szCs w:val="22"/>
          <w:lang w:val="en-GB"/>
        </w:rPr>
      </w:pPr>
      <w:r w:rsidRPr="00C102BD">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C102BD">
        <w:rPr>
          <w:sz w:val="22"/>
          <w:szCs w:val="22"/>
          <w:lang w:val="en-GB"/>
        </w:rPr>
        <w:t xml:space="preserve">If the </w:t>
      </w:r>
      <w:r w:rsidR="007B5E37" w:rsidRPr="00C102BD">
        <w:rPr>
          <w:sz w:val="22"/>
          <w:szCs w:val="22"/>
          <w:lang w:val="en-GB"/>
        </w:rPr>
        <w:t>economic operator</w:t>
      </w:r>
      <w:r w:rsidR="00D23AC1" w:rsidRPr="00C102BD">
        <w:rPr>
          <w:sz w:val="22"/>
          <w:szCs w:val="22"/>
          <w:lang w:val="en-GB"/>
        </w:rPr>
        <w:t xml:space="preserve"> relies on other entities i</w:t>
      </w:r>
      <w:r w:rsidRPr="00C102BD">
        <w:rPr>
          <w:sz w:val="22"/>
          <w:szCs w:val="22"/>
          <w:lang w:val="en-GB"/>
        </w:rPr>
        <w:t xml:space="preserve">t must in that case prove to the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that it will have at its disposal the resources necessary for performance of the contract by producing a commitment </w:t>
      </w:r>
      <w:r w:rsidR="00D23AC1" w:rsidRPr="00C102BD">
        <w:rPr>
          <w:sz w:val="22"/>
          <w:szCs w:val="22"/>
          <w:lang w:val="en-GB"/>
        </w:rPr>
        <w:t>by</w:t>
      </w:r>
      <w:r w:rsidRPr="00C102BD">
        <w:rPr>
          <w:sz w:val="22"/>
          <w:szCs w:val="22"/>
          <w:lang w:val="en-GB"/>
        </w:rPr>
        <w:t xml:space="preserve"> those entities to place those resources at its disposal. Such entities</w:t>
      </w:r>
      <w:r w:rsidRPr="00C102BD">
        <w:rPr>
          <w:sz w:val="22"/>
          <w:szCs w:val="22"/>
        </w:rPr>
        <w:t xml:space="preserve">, for instance the parent company of the economic operator, </w:t>
      </w:r>
      <w:r w:rsidRPr="00C102BD">
        <w:rPr>
          <w:sz w:val="22"/>
          <w:szCs w:val="22"/>
          <w:lang w:val="en-GB"/>
        </w:rPr>
        <w:t xml:space="preserve">must respect the same rules of eligibility </w:t>
      </w:r>
      <w:r w:rsidR="00FB3AEC" w:rsidRPr="00C102BD">
        <w:rPr>
          <w:sz w:val="22"/>
          <w:szCs w:val="22"/>
          <w:lang w:val="en-GB"/>
        </w:rPr>
        <w:t>and</w:t>
      </w:r>
      <w:r w:rsidRPr="00C102BD">
        <w:rPr>
          <w:sz w:val="22"/>
          <w:szCs w:val="22"/>
          <w:lang w:val="en-GB"/>
        </w:rPr>
        <w:t xml:space="preserve"> notably that of nationality </w:t>
      </w:r>
      <w:r w:rsidR="00FB3AEC" w:rsidRPr="00C102BD">
        <w:rPr>
          <w:sz w:val="22"/>
          <w:szCs w:val="22"/>
          <w:lang w:val="en-GB"/>
        </w:rPr>
        <w:t xml:space="preserve">as the economic operator relying </w:t>
      </w:r>
      <w:r w:rsidR="00302A1B" w:rsidRPr="00C102BD">
        <w:rPr>
          <w:sz w:val="22"/>
          <w:szCs w:val="22"/>
          <w:lang w:val="en-GB"/>
        </w:rPr>
        <w:t>on</w:t>
      </w:r>
      <w:r w:rsidR="00FB3AEC" w:rsidRPr="00C102BD">
        <w:rPr>
          <w:sz w:val="22"/>
          <w:szCs w:val="22"/>
          <w:lang w:val="en-GB"/>
        </w:rPr>
        <w:t xml:space="preserve"> them</w:t>
      </w:r>
      <w:r w:rsidRPr="00C102BD">
        <w:rPr>
          <w:sz w:val="22"/>
          <w:szCs w:val="22"/>
          <w:lang w:val="en-GB"/>
        </w:rPr>
        <w:t xml:space="preserve"> and must </w:t>
      </w:r>
      <w:r w:rsidR="00D23AC1" w:rsidRPr="00C102BD">
        <w:rPr>
          <w:sz w:val="22"/>
          <w:szCs w:val="22"/>
          <w:lang w:val="en-GB"/>
        </w:rPr>
        <w:t xml:space="preserve">comply with the </w:t>
      </w:r>
      <w:r w:rsidRPr="00C102BD">
        <w:rPr>
          <w:sz w:val="22"/>
          <w:szCs w:val="22"/>
          <w:lang w:val="en-GB"/>
        </w:rPr>
        <w:t xml:space="preserve">selection criteria </w:t>
      </w:r>
      <w:r w:rsidR="00D23AC1" w:rsidRPr="00C102BD">
        <w:rPr>
          <w:sz w:val="22"/>
          <w:szCs w:val="22"/>
          <w:lang w:val="en-GB"/>
        </w:rPr>
        <w:t>for which the economic operator relies on them</w:t>
      </w:r>
      <w:r w:rsidRPr="00C102BD">
        <w:rPr>
          <w:sz w:val="22"/>
          <w:szCs w:val="22"/>
          <w:lang w:val="en-GB"/>
        </w:rPr>
        <w:t xml:space="preserve">. </w:t>
      </w:r>
      <w:r w:rsidR="00D23AC1" w:rsidRPr="00C102BD">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C102BD" w:rsidRDefault="00104CCC" w:rsidP="003907E7">
      <w:pPr>
        <w:pStyle w:val="Blockquote"/>
        <w:ind w:left="480"/>
        <w:jc w:val="both"/>
        <w:rPr>
          <w:sz w:val="22"/>
          <w:szCs w:val="22"/>
          <w:lang w:val="en-GB"/>
        </w:rPr>
      </w:pPr>
      <w:r w:rsidRPr="00C102BD">
        <w:rPr>
          <w:sz w:val="22"/>
          <w:szCs w:val="22"/>
          <w:lang w:val="en-GB"/>
        </w:rPr>
        <w:t xml:space="preserve">With regard to technical and professional criteria, an economic operator may only rely on the capacities of other entities where the latter will perform the </w:t>
      </w:r>
      <w:r w:rsidR="006A6D08" w:rsidRPr="00C102BD">
        <w:rPr>
          <w:sz w:val="22"/>
          <w:szCs w:val="22"/>
          <w:lang w:val="en-GB"/>
        </w:rPr>
        <w:t xml:space="preserve">tasks </w:t>
      </w:r>
      <w:r w:rsidRPr="00C102BD">
        <w:rPr>
          <w:sz w:val="22"/>
          <w:szCs w:val="22"/>
          <w:lang w:val="en-GB"/>
        </w:rPr>
        <w:t>for which these capacities are required.</w:t>
      </w:r>
      <w:r w:rsidRPr="00C102BD">
        <w:rPr>
          <w:sz w:val="22"/>
          <w:lang w:val="en-GB"/>
        </w:rPr>
        <w:t xml:space="preserve"> </w:t>
      </w:r>
    </w:p>
    <w:p w14:paraId="5AA2D38E" w14:textId="722ABD8D" w:rsidR="00104CCC" w:rsidRPr="00C33576" w:rsidRDefault="00104CCC" w:rsidP="0025703B">
      <w:pPr>
        <w:pStyle w:val="Blockquote"/>
        <w:ind w:left="480"/>
        <w:jc w:val="both"/>
        <w:rPr>
          <w:sz w:val="22"/>
          <w:szCs w:val="22"/>
          <w:lang w:val="en-GB"/>
        </w:rPr>
      </w:pPr>
      <w:r w:rsidRPr="00C102BD">
        <w:rPr>
          <w:sz w:val="22"/>
          <w:szCs w:val="22"/>
          <w:lang w:val="en-GB"/>
        </w:rPr>
        <w:t xml:space="preserve">With regard to economic and financial criteria, the entities upon whose capacity the </w:t>
      </w:r>
      <w:r w:rsidR="007B5E37" w:rsidRPr="00C102BD">
        <w:rPr>
          <w:sz w:val="22"/>
          <w:szCs w:val="22"/>
          <w:lang w:val="en-GB"/>
        </w:rPr>
        <w:t>economic operator</w:t>
      </w:r>
      <w:r w:rsidRPr="00C102BD">
        <w:rPr>
          <w:sz w:val="22"/>
          <w:szCs w:val="22"/>
          <w:lang w:val="en-GB"/>
        </w:rPr>
        <w:t xml:space="preserve"> relies, become jointly and severally liable for the performance of the contract.</w:t>
      </w:r>
    </w:p>
    <w:p w14:paraId="4F51E9FD" w14:textId="77777777" w:rsidR="006A0BB1" w:rsidRPr="00C45A53" w:rsidRDefault="006A0BB1" w:rsidP="00C45A53">
      <w:pPr>
        <w:pStyle w:val="Blockquote"/>
        <w:ind w:left="480"/>
        <w:jc w:val="both"/>
        <w:rPr>
          <w:sz w:val="22"/>
          <w:szCs w:val="22"/>
          <w:lang w:val="en-GB"/>
        </w:rPr>
      </w:pPr>
    </w:p>
    <w:p w14:paraId="395E27A4" w14:textId="1ECBAA49" w:rsidR="00AA22A5" w:rsidRDefault="00AA22A5" w:rsidP="00C45A53">
      <w:pPr>
        <w:pStyle w:val="Blockquote"/>
        <w:ind w:left="480"/>
        <w:jc w:val="both"/>
        <w:rPr>
          <w:sz w:val="22"/>
          <w:szCs w:val="22"/>
          <w:lang w:val="en-GB"/>
        </w:rPr>
      </w:pPr>
      <w:r w:rsidRPr="00C45A53">
        <w:rPr>
          <w:sz w:val="22"/>
          <w:szCs w:val="22"/>
          <w:lang w:val="en-GB"/>
        </w:rPr>
        <w:t xml:space="preserve">If more than </w:t>
      </w:r>
      <w:r w:rsidR="00005D6E" w:rsidRPr="00C45A53">
        <w:rPr>
          <w:sz w:val="22"/>
          <w:szCs w:val="22"/>
          <w:lang w:val="en-GB"/>
        </w:rPr>
        <w:t>8</w:t>
      </w:r>
      <w:r w:rsidR="00C45A53" w:rsidRPr="00C45A53">
        <w:rPr>
          <w:sz w:val="22"/>
          <w:szCs w:val="22"/>
          <w:lang w:val="en-GB"/>
        </w:rPr>
        <w:t xml:space="preserve"> </w:t>
      </w:r>
      <w:r w:rsidRPr="00C45A53">
        <w:rPr>
          <w:sz w:val="22"/>
          <w:szCs w:val="22"/>
          <w:lang w:val="en-GB"/>
        </w:rPr>
        <w:t xml:space="preserve">eligible candidates meet the above selection criteria, the relative strengths and weaknesses of the applications of these candidates must be re-examined </w:t>
      </w:r>
      <w:r w:rsidR="00D23AC1" w:rsidRPr="00C45A53">
        <w:rPr>
          <w:sz w:val="22"/>
          <w:szCs w:val="22"/>
          <w:lang w:val="en-GB"/>
        </w:rPr>
        <w:t>in order to rank their applications and</w:t>
      </w:r>
      <w:r w:rsidRPr="00C45A53">
        <w:rPr>
          <w:sz w:val="22"/>
          <w:szCs w:val="22"/>
          <w:lang w:val="en-GB"/>
        </w:rPr>
        <w:t xml:space="preserve"> identify the </w:t>
      </w:r>
      <w:r w:rsidR="006D2EC9">
        <w:rPr>
          <w:sz w:val="22"/>
          <w:szCs w:val="22"/>
          <w:lang w:val="en-GB"/>
        </w:rPr>
        <w:t>8</w:t>
      </w:r>
      <w:r w:rsidRPr="00C45A53">
        <w:rPr>
          <w:sz w:val="22"/>
          <w:szCs w:val="22"/>
          <w:lang w:val="en-GB"/>
        </w:rPr>
        <w:t xml:space="preserve"> best applications for the tender procedure. The only </w:t>
      </w:r>
      <w:r w:rsidR="00D23AC1" w:rsidRPr="00C45A53">
        <w:rPr>
          <w:sz w:val="22"/>
          <w:szCs w:val="22"/>
          <w:lang w:val="en-GB"/>
        </w:rPr>
        <w:t>additional comparative criteria that</w:t>
      </w:r>
      <w:r w:rsidRPr="00C45A53">
        <w:rPr>
          <w:sz w:val="22"/>
          <w:szCs w:val="22"/>
          <w:lang w:val="en-GB"/>
        </w:rPr>
        <w:t xml:space="preserve"> which will be taken into consideration during this re-examination</w:t>
      </w:r>
      <w:r w:rsidR="00D23AC1" w:rsidRPr="00C45A53">
        <w:rPr>
          <w:sz w:val="22"/>
          <w:szCs w:val="22"/>
          <w:lang w:val="en-GB"/>
        </w:rPr>
        <w:t xml:space="preserve">, in the order in which they appear below, </w:t>
      </w:r>
      <w:r w:rsidRPr="00C45A53">
        <w:rPr>
          <w:sz w:val="22"/>
          <w:szCs w:val="22"/>
          <w:lang w:val="en-GB"/>
        </w:rPr>
        <w:t>are:</w:t>
      </w:r>
    </w:p>
    <w:p w14:paraId="4156B8E1" w14:textId="28755EA0" w:rsidR="006D2EC9" w:rsidRDefault="00D93FDA" w:rsidP="006D2EC9">
      <w:pPr>
        <w:pStyle w:val="Blockquote"/>
        <w:numPr>
          <w:ilvl w:val="0"/>
          <w:numId w:val="26"/>
        </w:numPr>
        <w:jc w:val="both"/>
        <w:rPr>
          <w:sz w:val="22"/>
          <w:szCs w:val="22"/>
        </w:rPr>
      </w:pPr>
      <w:r w:rsidRPr="004F34C4">
        <w:rPr>
          <w:sz w:val="22"/>
          <w:szCs w:val="22"/>
          <w:lang w:val="en-GB"/>
        </w:rPr>
        <w:t xml:space="preserve">the highest </w:t>
      </w:r>
      <w:r>
        <w:rPr>
          <w:sz w:val="22"/>
          <w:szCs w:val="22"/>
          <w:lang w:val="en-GB"/>
        </w:rPr>
        <w:t xml:space="preserve">cumulated </w:t>
      </w:r>
      <w:r w:rsidRPr="004F34C4">
        <w:rPr>
          <w:sz w:val="22"/>
          <w:szCs w:val="22"/>
          <w:lang w:val="en-GB"/>
        </w:rPr>
        <w:t>value of the project</w:t>
      </w:r>
      <w:r>
        <w:rPr>
          <w:sz w:val="22"/>
          <w:szCs w:val="22"/>
          <w:lang w:val="en-GB"/>
        </w:rPr>
        <w:t>s</w:t>
      </w:r>
      <w:r w:rsidRPr="004F34C4">
        <w:rPr>
          <w:sz w:val="22"/>
          <w:szCs w:val="22"/>
          <w:lang w:val="en-GB"/>
        </w:rPr>
        <w:t xml:space="preserve"> </w:t>
      </w:r>
      <w:r>
        <w:rPr>
          <w:sz w:val="22"/>
          <w:szCs w:val="22"/>
          <w:lang w:val="en-GB"/>
        </w:rPr>
        <w:t>that meet criterion</w:t>
      </w:r>
      <w:r w:rsidRPr="004F34C4">
        <w:rPr>
          <w:sz w:val="22"/>
          <w:szCs w:val="22"/>
          <w:lang w:val="en-GB"/>
        </w:rPr>
        <w:t xml:space="preserve"> 3</w:t>
      </w:r>
      <w:r w:rsidR="006D2EC9">
        <w:rPr>
          <w:sz w:val="22"/>
          <w:szCs w:val="22"/>
        </w:rPr>
        <w:t>;</w:t>
      </w:r>
    </w:p>
    <w:p w14:paraId="36FF762B" w14:textId="48ECF98F" w:rsidR="006D2EC9" w:rsidRPr="00090892" w:rsidRDefault="00D93FDA" w:rsidP="00D93FDA">
      <w:pPr>
        <w:pStyle w:val="Blockquote"/>
        <w:numPr>
          <w:ilvl w:val="0"/>
          <w:numId w:val="26"/>
        </w:numPr>
        <w:jc w:val="both"/>
        <w:rPr>
          <w:rStyle w:val="Strong"/>
          <w:b w:val="0"/>
          <w:sz w:val="22"/>
          <w:szCs w:val="22"/>
          <w:lang w:val="en-GB"/>
        </w:rPr>
      </w:pPr>
      <w:proofErr w:type="gramStart"/>
      <w:r w:rsidRPr="00D93FDA">
        <w:rPr>
          <w:sz w:val="22"/>
          <w:szCs w:val="22"/>
        </w:rPr>
        <w:t>the</w:t>
      </w:r>
      <w:proofErr w:type="gramEnd"/>
      <w:r w:rsidRPr="00D93FDA">
        <w:rPr>
          <w:sz w:val="22"/>
          <w:szCs w:val="22"/>
        </w:rPr>
        <w:t xml:space="preserve"> highest number of projects that meet criterion 3</w:t>
      </w:r>
      <w:r w:rsidR="006D2EC9">
        <w:rPr>
          <w:sz w:val="22"/>
          <w:szCs w:val="22"/>
        </w:rPr>
        <w: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1482B053" w:rsidR="00147087" w:rsidRPr="00D225CC" w:rsidRDefault="00C45A53" w:rsidP="005B6500">
      <w:pPr>
        <w:pStyle w:val="Blockquote"/>
        <w:ind w:left="426"/>
        <w:jc w:val="both"/>
        <w:rPr>
          <w:sz w:val="22"/>
          <w:szCs w:val="22"/>
          <w:lang w:val="en-GB"/>
        </w:rPr>
      </w:pPr>
      <w:r w:rsidRPr="00C45A53">
        <w:rPr>
          <w:sz w:val="22"/>
          <w:szCs w:val="22"/>
          <w:lang w:val="en-GB"/>
        </w:rPr>
        <w:t>Best price-quality ratio.</w:t>
      </w:r>
    </w:p>
    <w:p w14:paraId="74F5541F" w14:textId="74B321B6" w:rsidR="00AA22A5" w:rsidRDefault="00AA22A5" w:rsidP="005B6500">
      <w:pPr>
        <w:pStyle w:val="Blockquote"/>
        <w:ind w:left="426" w:right="72"/>
        <w:jc w:val="both"/>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25F538E2" w14:textId="77777777" w:rsidR="00AA22A5" w:rsidRPr="00C45A53" w:rsidRDefault="00AA22A5" w:rsidP="00C45A53">
      <w:pPr>
        <w:pStyle w:val="PRAGHeading2"/>
        <w:tabs>
          <w:tab w:val="clear" w:pos="567"/>
          <w:tab w:val="num" w:pos="426"/>
        </w:tabs>
        <w:ind w:left="0"/>
        <w:rPr>
          <w:rStyle w:val="Strong"/>
          <w:b w:val="0"/>
          <w:sz w:val="22"/>
          <w:szCs w:val="22"/>
          <w:lang w:val="en-GB"/>
        </w:rPr>
      </w:pPr>
      <w:r w:rsidRPr="00C45A53">
        <w:rPr>
          <w:rStyle w:val="Strong"/>
          <w:sz w:val="22"/>
          <w:szCs w:val="22"/>
          <w:lang w:val="en-GB"/>
        </w:rPr>
        <w:t xml:space="preserve">Applications format and details to be provided </w:t>
      </w:r>
    </w:p>
    <w:p w14:paraId="4B93F6FD" w14:textId="77777777" w:rsidR="003C15AF" w:rsidRPr="00C45A53" w:rsidRDefault="00337E2A" w:rsidP="007A21C8">
      <w:pPr>
        <w:pStyle w:val="PRAGHeading2"/>
        <w:numPr>
          <w:ilvl w:val="0"/>
          <w:numId w:val="0"/>
        </w:numPr>
        <w:tabs>
          <w:tab w:val="num" w:pos="426"/>
        </w:tabs>
        <w:ind w:left="426"/>
        <w:rPr>
          <w:sz w:val="22"/>
          <w:szCs w:val="22"/>
          <w:lang w:val="en-GB"/>
        </w:rPr>
      </w:pPr>
      <w:r w:rsidRPr="00C45A53">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14:paraId="06772D4B" w14:textId="77777777" w:rsidR="00337E2A" w:rsidRPr="00C45A53" w:rsidRDefault="00290E34" w:rsidP="007A21C8">
      <w:pPr>
        <w:pStyle w:val="PRAGHeading2"/>
        <w:numPr>
          <w:ilvl w:val="0"/>
          <w:numId w:val="0"/>
        </w:numPr>
        <w:tabs>
          <w:tab w:val="num" w:pos="426"/>
        </w:tabs>
        <w:ind w:left="426"/>
        <w:rPr>
          <w:sz w:val="22"/>
          <w:szCs w:val="22"/>
          <w:lang w:val="en-GB"/>
        </w:rPr>
      </w:pPr>
      <w:hyperlink r:id="rId8" w:history="1">
        <w:r w:rsidR="003C15AF" w:rsidRPr="00C45A53">
          <w:rPr>
            <w:rStyle w:val="Hyperlink"/>
            <w:sz w:val="22"/>
            <w:szCs w:val="22"/>
            <w:lang w:val="en-GB"/>
          </w:rPr>
          <w:t>https://ec.europa.eu/europeaid/prag/document.do?isAnnexes=true</w:t>
        </w:r>
      </w:hyperlink>
      <w:r w:rsidR="00337E2A" w:rsidRPr="00C45A53">
        <w:rPr>
          <w:sz w:val="22"/>
          <w:szCs w:val="22"/>
          <w:lang w:val="en-GB"/>
        </w:rPr>
        <w:t xml:space="preserve"> </w:t>
      </w:r>
    </w:p>
    <w:p w14:paraId="25114082" w14:textId="53C42601" w:rsidR="00001895" w:rsidRPr="00C45A53" w:rsidRDefault="00001895" w:rsidP="007A21C8">
      <w:pPr>
        <w:pStyle w:val="Blockquote"/>
        <w:tabs>
          <w:tab w:val="num" w:pos="426"/>
        </w:tabs>
        <w:ind w:left="426" w:right="-48"/>
        <w:jc w:val="both"/>
        <w:rPr>
          <w:sz w:val="22"/>
          <w:szCs w:val="22"/>
          <w:lang w:val="en-GB"/>
        </w:rPr>
      </w:pPr>
      <w:r w:rsidRPr="00C45A53">
        <w:rPr>
          <w:sz w:val="22"/>
          <w:szCs w:val="22"/>
          <w:lang w:val="en-GB"/>
        </w:rPr>
        <w:t>The application must be accompanied by a declaration o</w:t>
      </w:r>
      <w:r w:rsidR="00D56FD2" w:rsidRPr="00C45A53">
        <w:rPr>
          <w:sz w:val="22"/>
          <w:szCs w:val="22"/>
          <w:lang w:val="en-GB"/>
        </w:rPr>
        <w:t>n</w:t>
      </w:r>
      <w:r w:rsidRPr="00C45A53">
        <w:rPr>
          <w:sz w:val="22"/>
          <w:szCs w:val="22"/>
          <w:lang w:val="en-GB"/>
        </w:rPr>
        <w:t xml:space="preserve"> honour on exclusion and selection criteria using the template available from the following Internet address:</w:t>
      </w:r>
    </w:p>
    <w:p w14:paraId="21E47FCA" w14:textId="77777777" w:rsidR="003C15AF" w:rsidRPr="00C45A53" w:rsidRDefault="00290E34" w:rsidP="007A21C8">
      <w:pPr>
        <w:pStyle w:val="PRAGHeading2"/>
        <w:numPr>
          <w:ilvl w:val="0"/>
          <w:numId w:val="0"/>
        </w:numPr>
        <w:tabs>
          <w:tab w:val="num" w:pos="426"/>
        </w:tabs>
        <w:ind w:left="426"/>
        <w:jc w:val="both"/>
        <w:rPr>
          <w:sz w:val="22"/>
          <w:szCs w:val="22"/>
          <w:lang w:val="en-US"/>
        </w:rPr>
      </w:pPr>
      <w:hyperlink r:id="rId9" w:history="1">
        <w:r w:rsidR="003C15AF" w:rsidRPr="00C45A53">
          <w:rPr>
            <w:rStyle w:val="Hyperlink"/>
            <w:sz w:val="22"/>
            <w:szCs w:val="22"/>
            <w:lang w:val="en-US"/>
          </w:rPr>
          <w:t>https://ec.europa.eu/europeaid/prag/document.do?isAnnexes=true</w:t>
        </w:r>
      </w:hyperlink>
    </w:p>
    <w:p w14:paraId="56072393" w14:textId="77777777" w:rsidR="00AA22A5" w:rsidRPr="00C45A53" w:rsidRDefault="00AA22A5" w:rsidP="007A21C8">
      <w:pPr>
        <w:pStyle w:val="PRAGHeading2"/>
        <w:numPr>
          <w:ilvl w:val="0"/>
          <w:numId w:val="0"/>
        </w:numPr>
        <w:tabs>
          <w:tab w:val="num" w:pos="426"/>
        </w:tabs>
        <w:ind w:left="426"/>
        <w:jc w:val="both"/>
        <w:rPr>
          <w:sz w:val="22"/>
          <w:szCs w:val="22"/>
          <w:lang w:val="en-GB"/>
        </w:rPr>
      </w:pPr>
      <w:r w:rsidRPr="00C45A53">
        <w:rPr>
          <w:sz w:val="22"/>
          <w:szCs w:val="22"/>
          <w:lang w:val="en-GB"/>
        </w:rPr>
        <w:t>Any documentation (brochure, letter, etc</w:t>
      </w:r>
      <w:r w:rsidR="00FF0AD1" w:rsidRPr="00C45A53">
        <w:rPr>
          <w:sz w:val="22"/>
          <w:szCs w:val="22"/>
          <w:lang w:val="en-GB"/>
        </w:rPr>
        <w:t>.</w:t>
      </w:r>
      <w:r w:rsidRPr="00C45A53">
        <w:rPr>
          <w:sz w:val="22"/>
          <w:szCs w:val="22"/>
          <w:lang w:val="en-GB"/>
        </w:rPr>
        <w:t xml:space="preserve">) sent with an application in addition to what has been requested will not be taken into consideration. </w:t>
      </w:r>
    </w:p>
    <w:p w14:paraId="6AECAB45"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How applications may be submitted </w:t>
      </w:r>
    </w:p>
    <w:p w14:paraId="14737359" w14:textId="77777777" w:rsidR="00AA22A5" w:rsidRPr="00C45A53" w:rsidRDefault="00AA22A5" w:rsidP="00AA22A5">
      <w:pPr>
        <w:ind w:left="426"/>
        <w:jc w:val="both"/>
        <w:rPr>
          <w:sz w:val="22"/>
          <w:szCs w:val="22"/>
          <w:lang w:val="en-GB"/>
        </w:rPr>
      </w:pPr>
      <w:r w:rsidRPr="00C45A53">
        <w:rPr>
          <w:sz w:val="22"/>
          <w:szCs w:val="22"/>
          <w:lang w:val="en-GB"/>
        </w:rPr>
        <w:t xml:space="preserve">Applications must be submitted in English exclusively to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uthority in a sealed envelope.</w:t>
      </w:r>
    </w:p>
    <w:p w14:paraId="2C1CEBC9" w14:textId="77777777" w:rsidR="00AA22A5" w:rsidRPr="00C45A53" w:rsidRDefault="00755178" w:rsidP="00AA22A5">
      <w:pPr>
        <w:numPr>
          <w:ilvl w:val="0"/>
          <w:numId w:val="11"/>
        </w:numPr>
        <w:rPr>
          <w:sz w:val="22"/>
          <w:szCs w:val="22"/>
          <w:lang w:val="en-GB"/>
        </w:rPr>
      </w:pPr>
      <w:r w:rsidRPr="00C45A53">
        <w:rPr>
          <w:sz w:val="22"/>
          <w:szCs w:val="22"/>
          <w:lang w:val="en-GB"/>
        </w:rPr>
        <w:t xml:space="preserve">Either by post or by courier service, in which case the evidence shall be constituted by the postmark or the date of the deposit slip, </w:t>
      </w:r>
      <w:r w:rsidR="00AA22A5" w:rsidRPr="00C45A53">
        <w:rPr>
          <w:sz w:val="22"/>
          <w:szCs w:val="22"/>
          <w:lang w:val="en-GB"/>
        </w:rPr>
        <w:t xml:space="preserve"> to: </w:t>
      </w:r>
    </w:p>
    <w:p w14:paraId="63378B53"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4E8E191"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55225F87"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22B78E7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27133B0B" w14:textId="76E05B11" w:rsidR="00AA22A5" w:rsidRPr="00C45A53" w:rsidRDefault="00C45A53" w:rsidP="00C45A53">
      <w:pPr>
        <w:pStyle w:val="Blockquote"/>
        <w:ind w:left="1069"/>
        <w:jc w:val="center"/>
        <w:rPr>
          <w:rStyle w:val="Emphasis"/>
          <w:i w:val="0"/>
          <w:sz w:val="22"/>
          <w:szCs w:val="22"/>
          <w:lang w:val="en-GB"/>
        </w:rPr>
      </w:pPr>
      <w:r w:rsidRPr="00C45A53">
        <w:rPr>
          <w:b/>
          <w:sz w:val="22"/>
          <w:szCs w:val="22"/>
          <w:lang w:val="es-ES_tradnl"/>
        </w:rPr>
        <w:t>10000 Pristina, Kosovo</w:t>
      </w:r>
    </w:p>
    <w:p w14:paraId="27CCD0B7" w14:textId="77777777" w:rsidR="00AA22A5" w:rsidRPr="00C45A53" w:rsidRDefault="00AA22A5" w:rsidP="00AA22A5">
      <w:pPr>
        <w:numPr>
          <w:ilvl w:val="0"/>
          <w:numId w:val="11"/>
        </w:numPr>
        <w:rPr>
          <w:sz w:val="22"/>
          <w:szCs w:val="22"/>
          <w:lang w:val="en-GB"/>
        </w:rPr>
      </w:pPr>
      <w:r w:rsidRPr="00C45A53">
        <w:rPr>
          <w:sz w:val="22"/>
          <w:szCs w:val="22"/>
          <w:lang w:val="en-GB"/>
        </w:rPr>
        <w:t xml:space="preserve">OR hand delivered </w:t>
      </w:r>
      <w:r w:rsidR="00755178" w:rsidRPr="00C45A53">
        <w:rPr>
          <w:sz w:val="22"/>
          <w:szCs w:val="22"/>
          <w:lang w:val="en-GB"/>
        </w:rPr>
        <w:t>by the participant in person or by an agent</w:t>
      </w:r>
      <w:r w:rsidR="00755178" w:rsidRPr="00C45A53">
        <w:t xml:space="preserve"> directly</w:t>
      </w:r>
      <w:r w:rsidR="00755178" w:rsidRPr="00C45A53">
        <w:rPr>
          <w:sz w:val="22"/>
          <w:szCs w:val="22"/>
          <w:lang w:val="en-GB"/>
        </w:rPr>
        <w:t xml:space="preserve"> to the premises of the contracting authority in return for a </w:t>
      </w:r>
      <w:r w:rsidR="00755178" w:rsidRPr="00C45A53">
        <w:t>signed and dated receipt</w:t>
      </w:r>
      <w:r w:rsidR="00755178" w:rsidRPr="00C45A53">
        <w:rPr>
          <w:sz w:val="22"/>
          <w:szCs w:val="22"/>
          <w:lang w:val="en-GB"/>
        </w:rPr>
        <w:t xml:space="preserve">, in which case the evidence shall be constituted by this acknowledgement of receipt, </w:t>
      </w:r>
      <w:r w:rsidRPr="00C45A53">
        <w:rPr>
          <w:sz w:val="22"/>
          <w:szCs w:val="22"/>
          <w:lang w:val="en-GB"/>
        </w:rPr>
        <w:t xml:space="preserve">to: </w:t>
      </w:r>
    </w:p>
    <w:p w14:paraId="14C8821D"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B344230"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4EDC195B"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6CC5A3E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1727C8DA" w14:textId="752CD72F" w:rsidR="00AA22A5" w:rsidRDefault="00C45A53" w:rsidP="00C45A53">
      <w:pPr>
        <w:pStyle w:val="Blockquote"/>
        <w:ind w:left="1069"/>
        <w:jc w:val="center"/>
        <w:rPr>
          <w:b/>
          <w:sz w:val="22"/>
          <w:szCs w:val="22"/>
          <w:lang w:val="es-ES_tradnl"/>
        </w:rPr>
      </w:pPr>
      <w:r w:rsidRPr="00C45A53">
        <w:rPr>
          <w:b/>
          <w:sz w:val="22"/>
          <w:szCs w:val="22"/>
          <w:lang w:val="es-ES_tradnl"/>
        </w:rPr>
        <w:t>10000 Pristina, Kosovo</w:t>
      </w:r>
    </w:p>
    <w:p w14:paraId="651C1A7D" w14:textId="023109F3" w:rsidR="00AC3C8A" w:rsidRPr="00AC3C8A" w:rsidRDefault="00AC3C8A" w:rsidP="00AC3C8A">
      <w:pPr>
        <w:numPr>
          <w:ilvl w:val="0"/>
          <w:numId w:val="11"/>
        </w:numPr>
        <w:rPr>
          <w:rStyle w:val="Emphasis"/>
          <w:i w:val="0"/>
          <w:color w:val="FF0000"/>
          <w:sz w:val="22"/>
          <w:szCs w:val="22"/>
          <w:lang w:val="en-GB"/>
        </w:rPr>
      </w:pPr>
      <w:r w:rsidRPr="00AC3C8A">
        <w:rPr>
          <w:b/>
          <w:color w:val="FF0000"/>
          <w:sz w:val="22"/>
          <w:szCs w:val="22"/>
          <w:lang w:val="en-GB"/>
        </w:rPr>
        <w:t>OR (exceptionally) electronic submission via email at: tenders@eulex-kosovo.eu</w:t>
      </w:r>
    </w:p>
    <w:p w14:paraId="6C512457" w14:textId="77777777" w:rsidR="004F27F5" w:rsidRPr="00C45A53" w:rsidRDefault="00AA22A5" w:rsidP="00AA22A5">
      <w:pPr>
        <w:ind w:left="426"/>
        <w:jc w:val="both"/>
        <w:rPr>
          <w:sz w:val="22"/>
          <w:szCs w:val="22"/>
          <w:lang w:val="en-GB"/>
        </w:rPr>
      </w:pPr>
      <w:r w:rsidRPr="00C45A53">
        <w:rPr>
          <w:sz w:val="22"/>
          <w:szCs w:val="22"/>
          <w:lang w:val="en-GB"/>
        </w:rPr>
        <w:t xml:space="preserve">The </w:t>
      </w:r>
      <w:r w:rsidR="00FF0AD1" w:rsidRPr="00C45A53">
        <w:rPr>
          <w:sz w:val="22"/>
          <w:szCs w:val="22"/>
          <w:lang w:val="en-GB"/>
        </w:rPr>
        <w:t>c</w:t>
      </w:r>
      <w:r w:rsidRPr="00C45A53">
        <w:rPr>
          <w:sz w:val="22"/>
          <w:szCs w:val="22"/>
          <w:lang w:val="en-GB"/>
        </w:rPr>
        <w:t xml:space="preserve">ontract title and </w:t>
      </w:r>
      <w:r w:rsidR="00FF0AD1" w:rsidRPr="00C45A53">
        <w:rPr>
          <w:sz w:val="22"/>
          <w:szCs w:val="22"/>
          <w:lang w:val="en-GB"/>
        </w:rPr>
        <w:t>p</w:t>
      </w:r>
      <w:r w:rsidRPr="00C45A53">
        <w:rPr>
          <w:sz w:val="22"/>
          <w:szCs w:val="22"/>
          <w:lang w:val="en-GB"/>
        </w:rPr>
        <w:t xml:space="preserve">ublication reference (see </w:t>
      </w:r>
      <w:r w:rsidR="00B65865" w:rsidRPr="00C45A53">
        <w:rPr>
          <w:sz w:val="22"/>
          <w:szCs w:val="22"/>
          <w:lang w:val="en-GB"/>
        </w:rPr>
        <w:t>contract notice</w:t>
      </w:r>
      <w:r w:rsidRPr="00C45A53">
        <w:rPr>
          <w:sz w:val="22"/>
          <w:szCs w:val="22"/>
          <w:lang w:val="en-GB"/>
        </w:rPr>
        <w:t xml:space="preserve">) must be clearly marked on the envelope containing the application and must always be mentioned in all subsequent correspondence with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 xml:space="preserve">uthority. </w:t>
      </w:r>
    </w:p>
    <w:p w14:paraId="7FEC12F1" w14:textId="77777777" w:rsidR="00AA22A5" w:rsidRPr="00C45A53" w:rsidRDefault="00AA22A5" w:rsidP="007A21C8">
      <w:pPr>
        <w:tabs>
          <w:tab w:val="left" w:pos="426"/>
        </w:tabs>
        <w:ind w:left="426"/>
        <w:jc w:val="both"/>
        <w:rPr>
          <w:sz w:val="22"/>
          <w:szCs w:val="22"/>
          <w:lang w:val="en-GB"/>
        </w:rPr>
      </w:pPr>
      <w:r w:rsidRPr="00C45A53">
        <w:rPr>
          <w:sz w:val="22"/>
          <w:szCs w:val="22"/>
          <w:lang w:val="en-GB"/>
        </w:rPr>
        <w:t xml:space="preserve">Applications submitted by any other means will not be considered. </w:t>
      </w:r>
    </w:p>
    <w:p w14:paraId="1E9F92C7" w14:textId="26F2CD28" w:rsidR="004F27F5" w:rsidRPr="00C45A53" w:rsidRDefault="004F27F5" w:rsidP="007A21C8">
      <w:pPr>
        <w:tabs>
          <w:tab w:val="left" w:pos="426"/>
        </w:tabs>
        <w:ind w:left="426"/>
        <w:jc w:val="both"/>
        <w:rPr>
          <w:sz w:val="22"/>
          <w:szCs w:val="22"/>
          <w:lang w:val="en-GB"/>
        </w:rPr>
      </w:pPr>
      <w:r w:rsidRPr="00C45A53">
        <w:rPr>
          <w:sz w:val="22"/>
          <w:szCs w:val="22"/>
          <w:lang w:val="en-GB"/>
        </w:rPr>
        <w:t>By submitting a</w:t>
      </w:r>
      <w:r w:rsidR="001B078F" w:rsidRPr="00C45A53">
        <w:rPr>
          <w:sz w:val="22"/>
          <w:szCs w:val="22"/>
          <w:lang w:val="en-GB"/>
        </w:rPr>
        <w:t>n</w:t>
      </w:r>
      <w:r w:rsidRPr="00C45A53">
        <w:rPr>
          <w:sz w:val="22"/>
          <w:szCs w:val="22"/>
          <w:lang w:val="en-GB"/>
        </w:rPr>
        <w:t xml:space="preserve"> </w:t>
      </w:r>
      <w:r w:rsidR="001B078F" w:rsidRPr="00C45A53">
        <w:rPr>
          <w:sz w:val="22"/>
          <w:szCs w:val="22"/>
          <w:lang w:val="en-GB"/>
        </w:rPr>
        <w:t>application</w:t>
      </w:r>
      <w:r w:rsidRPr="00C45A53">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C45A53">
        <w:rPr>
          <w:sz w:val="22"/>
          <w:szCs w:val="22"/>
          <w:lang w:val="en-GB"/>
        </w:rPr>
        <w:t>application form</w:t>
      </w:r>
      <w:r w:rsidRPr="00C45A53">
        <w:rPr>
          <w:sz w:val="22"/>
          <w:szCs w:val="22"/>
          <w:lang w:val="en-GB"/>
        </w:rPr>
        <w:t>.</w:t>
      </w:r>
      <w:r w:rsidR="0074581A" w:rsidRPr="00C45A53">
        <w:rPr>
          <w:sz w:val="22"/>
          <w:szCs w:val="22"/>
          <w:lang w:val="en-GB"/>
        </w:rPr>
        <w:t xml:space="preserve"> </w:t>
      </w:r>
    </w:p>
    <w:p w14:paraId="6ACE8D12" w14:textId="4BB5345F" w:rsidR="00AE41D2" w:rsidRPr="00C45A53" w:rsidRDefault="00AE41D2" w:rsidP="007A21C8">
      <w:pPr>
        <w:pStyle w:val="PRAGHeading2"/>
        <w:tabs>
          <w:tab w:val="clear" w:pos="567"/>
          <w:tab w:val="num" w:pos="426"/>
        </w:tabs>
        <w:ind w:hanging="567"/>
        <w:rPr>
          <w:snapToGrid/>
          <w:sz w:val="22"/>
          <w:lang w:val="en-GB"/>
        </w:rPr>
      </w:pPr>
      <w:r w:rsidRPr="00C45A53">
        <w:rPr>
          <w:rStyle w:val="Strong"/>
          <w:lang w:val="en-GB"/>
        </w:rPr>
        <w:t>Deadline for submission of applications</w:t>
      </w:r>
    </w:p>
    <w:p w14:paraId="1106CEE6" w14:textId="77777777" w:rsidR="00AE41D2" w:rsidRPr="00C45A53" w:rsidRDefault="00AE41D2" w:rsidP="007A21C8">
      <w:pPr>
        <w:pStyle w:val="PRAGHeading2"/>
        <w:numPr>
          <w:ilvl w:val="0"/>
          <w:numId w:val="0"/>
        </w:numPr>
        <w:ind w:left="426"/>
        <w:jc w:val="both"/>
        <w:rPr>
          <w:rStyle w:val="Emphasis"/>
          <w:i w:val="0"/>
          <w:lang w:val="en-IE"/>
        </w:rPr>
      </w:pPr>
      <w:r w:rsidRPr="00C45A53">
        <w:rPr>
          <w:rStyle w:val="Emphasis"/>
          <w:i w:val="0"/>
          <w:iCs/>
          <w:sz w:val="22"/>
          <w:szCs w:val="22"/>
          <w:lang w:val="en-GB"/>
        </w:rPr>
        <w:t>The candidate’s attention is drawn to the fact that there are two different systems for sending applications: one is by post or private mail service, the other is by hand delivery.</w:t>
      </w:r>
    </w:p>
    <w:p w14:paraId="4D3BFBA3" w14:textId="77777777"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In the first case, the application must be sent before the date and time limit for submission, as evidenced by the postmark or deposit slip</w:t>
      </w:r>
      <w:r w:rsidRPr="00C45A53">
        <w:rPr>
          <w:rStyle w:val="FootnoteReference"/>
          <w:iCs/>
          <w:sz w:val="22"/>
          <w:szCs w:val="22"/>
          <w:lang w:val="en-GB"/>
        </w:rPr>
        <w:footnoteReference w:id="2"/>
      </w:r>
      <w:r w:rsidRPr="00C45A53">
        <w:rPr>
          <w:rStyle w:val="Emphasis"/>
          <w:i w:val="0"/>
          <w:iCs/>
          <w:sz w:val="22"/>
          <w:szCs w:val="22"/>
          <w:lang w:val="en-GB"/>
        </w:rPr>
        <w:t>, but in the second case it is the acknowledgment of receipt given at the time of the delivery of the application that will serve as proof.</w:t>
      </w:r>
    </w:p>
    <w:p w14:paraId="11316AE5" w14:textId="77777777" w:rsidR="00AE41D2" w:rsidRPr="00C45A53" w:rsidRDefault="00AE41D2" w:rsidP="007A21C8">
      <w:pPr>
        <w:pStyle w:val="PRAGHeading2"/>
        <w:numPr>
          <w:ilvl w:val="0"/>
          <w:numId w:val="0"/>
        </w:numPr>
        <w:ind w:left="426"/>
        <w:jc w:val="both"/>
        <w:rPr>
          <w:rStyle w:val="Emphasis"/>
          <w:b/>
          <w:i w:val="0"/>
          <w:iCs/>
          <w:sz w:val="22"/>
          <w:szCs w:val="22"/>
          <w:lang w:val="en-GB"/>
        </w:rPr>
      </w:pPr>
      <w:r w:rsidRPr="00C45A53">
        <w:rPr>
          <w:rStyle w:val="Emphasis"/>
          <w:b/>
          <w:i w:val="0"/>
          <w:iCs/>
          <w:sz w:val="22"/>
          <w:szCs w:val="22"/>
          <w:lang w:val="en-GB"/>
        </w:rPr>
        <w:t>The deadline for submission of applications can be found in the Contract Notice under IV.2.2.</w:t>
      </w:r>
    </w:p>
    <w:p w14:paraId="2FDE7C07" w14:textId="01A70D3D"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Any application sent to the contracting authority after this deadline will not be considered.</w:t>
      </w:r>
    </w:p>
    <w:p w14:paraId="0548F229" w14:textId="18AE0E51" w:rsidR="00AE41D2" w:rsidRPr="00C00492" w:rsidRDefault="00AE41D2" w:rsidP="007A21C8">
      <w:pPr>
        <w:pStyle w:val="PRAGHeading2"/>
        <w:numPr>
          <w:ilvl w:val="0"/>
          <w:numId w:val="0"/>
        </w:numPr>
        <w:ind w:left="426"/>
        <w:jc w:val="both"/>
        <w:rPr>
          <w:szCs w:val="24"/>
          <w:lang w:val="en-IE"/>
        </w:rPr>
      </w:pPr>
      <w:r w:rsidRPr="00C45A53">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C45A53">
        <w:rPr>
          <w:lang w:val="en-GB"/>
        </w:rPr>
        <w:t xml:space="preserve"> </w:t>
      </w:r>
      <w:r w:rsidRPr="00C45A53">
        <w:rPr>
          <w:sz w:val="22"/>
          <w:szCs w:val="22"/>
          <w:lang w:val="en-GB"/>
        </w:rPr>
        <w:t>decisions already taken and notified</w:t>
      </w:r>
      <w:r w:rsidRPr="00C45A53">
        <w:rPr>
          <w:lang w:val="en-GB"/>
        </w:rPr>
        <w:t>.</w:t>
      </w:r>
    </w:p>
    <w:p w14:paraId="5A7ECBA9" w14:textId="77777777" w:rsidR="00AE41D2" w:rsidRDefault="00AE41D2" w:rsidP="00FA24DB">
      <w:pPr>
        <w:pStyle w:val="PRAGHeading2"/>
        <w:numPr>
          <w:ilvl w:val="0"/>
          <w:numId w:val="0"/>
        </w:numPr>
        <w:ind w:left="567"/>
        <w:rPr>
          <w:rStyle w:val="Strong"/>
          <w:sz w:val="22"/>
          <w:szCs w:val="22"/>
          <w:highlight w:val="lightGray"/>
          <w:lang w:val="en-GB"/>
        </w:rPr>
      </w:pPr>
    </w:p>
    <w:p w14:paraId="245D74C2" w14:textId="36B08A5A" w:rsidR="00073CD8" w:rsidRPr="00073CD8" w:rsidRDefault="00765594" w:rsidP="00073CD8">
      <w:pPr>
        <w:pStyle w:val="PRAGHeading2"/>
        <w:tabs>
          <w:tab w:val="clear" w:pos="567"/>
          <w:tab w:val="num" w:pos="426"/>
        </w:tabs>
        <w:ind w:hanging="567"/>
        <w:rPr>
          <w:rStyle w:val="Strong"/>
          <w:sz w:val="22"/>
          <w:szCs w:val="22"/>
          <w:lang w:val="en-GB"/>
        </w:rPr>
      </w:pPr>
      <w:r w:rsidRPr="00C45A53">
        <w:rPr>
          <w:rStyle w:val="Strong"/>
          <w:sz w:val="22"/>
          <w:szCs w:val="22"/>
          <w:lang w:val="en-GB"/>
        </w:rPr>
        <w:t>Clarifications on the contract notice</w:t>
      </w:r>
    </w:p>
    <w:p w14:paraId="48C1D7B8" w14:textId="77777777" w:rsidR="00073CD8" w:rsidRPr="00C45A53" w:rsidRDefault="00073CD8" w:rsidP="00073CD8">
      <w:pPr>
        <w:pStyle w:val="PRAGHeading2"/>
        <w:numPr>
          <w:ilvl w:val="0"/>
          <w:numId w:val="0"/>
        </w:numPr>
        <w:ind w:left="426"/>
        <w:jc w:val="both"/>
        <w:rPr>
          <w:sz w:val="22"/>
          <w:szCs w:val="22"/>
          <w:lang w:val="en-GB"/>
        </w:rPr>
      </w:pPr>
      <w:r w:rsidRPr="00C45A53">
        <w:rPr>
          <w:sz w:val="22"/>
          <w:szCs w:val="22"/>
          <w:lang w:val="en-GB"/>
        </w:rPr>
        <w:t xml:space="preserve">Clarifications may be sought from the contracting authority at the following email address      tenders@ eulex-kosovo.eu at the latest 21 days before the deadline for submission of applications stated at section </w:t>
      </w:r>
      <w:r w:rsidRPr="00C45A53">
        <w:rPr>
          <w:rStyle w:val="Strong"/>
          <w:sz w:val="22"/>
          <w:szCs w:val="22"/>
          <w:lang w:val="en-GB"/>
        </w:rPr>
        <w:t>IV.2.2) of the contract notice</w:t>
      </w:r>
      <w:r w:rsidRPr="00C45A53">
        <w:rPr>
          <w:sz w:val="22"/>
          <w:szCs w:val="22"/>
          <w:lang w:val="en-GB"/>
        </w:rPr>
        <w:t>.</w:t>
      </w:r>
    </w:p>
    <w:p w14:paraId="4F7D9937" w14:textId="77777777" w:rsidR="00073CD8" w:rsidRPr="00C45A53" w:rsidRDefault="00073CD8" w:rsidP="00073CD8">
      <w:pPr>
        <w:pStyle w:val="PRAGHeading2"/>
        <w:numPr>
          <w:ilvl w:val="0"/>
          <w:numId w:val="0"/>
        </w:numPr>
        <w:ind w:left="426"/>
        <w:rPr>
          <w:sz w:val="22"/>
          <w:szCs w:val="22"/>
          <w:lang w:val="en-GB"/>
        </w:rPr>
      </w:pPr>
      <w:r w:rsidRPr="00C45A53">
        <w:rPr>
          <w:sz w:val="22"/>
          <w:szCs w:val="22"/>
          <w:lang w:val="en-GB"/>
        </w:rPr>
        <w:t>Clarifications will be published on</w:t>
      </w:r>
      <w:r w:rsidRPr="00C45A53">
        <w:rPr>
          <w:snapToGrid/>
          <w:lang w:val="en-IE"/>
        </w:rPr>
        <w:t xml:space="preserve"> </w:t>
      </w:r>
      <w:r w:rsidRPr="00C45A53">
        <w:rPr>
          <w:sz w:val="22"/>
          <w:szCs w:val="22"/>
          <w:lang w:val="en-IE"/>
        </w:rPr>
        <w:t xml:space="preserve">TED </w:t>
      </w:r>
      <w:proofErr w:type="spellStart"/>
      <w:r w:rsidRPr="00C45A53">
        <w:rPr>
          <w:sz w:val="22"/>
          <w:szCs w:val="22"/>
          <w:lang w:val="en-IE"/>
        </w:rPr>
        <w:t>eTendering</w:t>
      </w:r>
      <w:proofErr w:type="spellEnd"/>
      <w:r w:rsidRPr="00C45A53">
        <w:rPr>
          <w:sz w:val="22"/>
          <w:szCs w:val="22"/>
          <w:lang w:val="en-IE"/>
        </w:rPr>
        <w:t xml:space="preserve"> accessible from the F&amp;T portal</w:t>
      </w:r>
      <w:r w:rsidRPr="00C45A53">
        <w:rPr>
          <w:sz w:val="22"/>
          <w:szCs w:val="22"/>
          <w:lang w:val="en-GB"/>
        </w:rPr>
        <w:t xml:space="preserve"> </w:t>
      </w:r>
      <w:r w:rsidRPr="00C45A53">
        <w:rPr>
          <w:sz w:val="22"/>
          <w:szCs w:val="22"/>
          <w:lang w:val="en-IE"/>
        </w:rPr>
        <w:t xml:space="preserve">at </w:t>
      </w:r>
      <w:hyperlink r:id="rId10" w:history="1">
        <w:r w:rsidRPr="00C45A53">
          <w:rPr>
            <w:rStyle w:val="Hyperlink"/>
            <w:i/>
            <w:iCs/>
            <w:sz w:val="22"/>
            <w:szCs w:val="22"/>
            <w:lang w:val="en-GB"/>
          </w:rPr>
          <w:t>https://ec.europa.eu/info/funding-tenders/opportunities/portal/screen/home</w:t>
        </w:r>
      </w:hyperlink>
      <w:r>
        <w:rPr>
          <w:rStyle w:val="Hyperlink"/>
          <w:i/>
          <w:iCs/>
          <w:sz w:val="22"/>
          <w:szCs w:val="22"/>
          <w:lang w:val="en-GB"/>
        </w:rPr>
        <w:t xml:space="preserve"> </w:t>
      </w:r>
      <w:r w:rsidRPr="00E45547">
        <w:t xml:space="preserve">and/or on EULEX Kosovo </w:t>
      </w:r>
      <w:proofErr w:type="spellStart"/>
      <w:r w:rsidRPr="00E45547">
        <w:t>website</w:t>
      </w:r>
      <w:proofErr w:type="spellEnd"/>
      <w:r w:rsidRPr="00E45547">
        <w:t xml:space="preserve"> at</w:t>
      </w:r>
      <w:r>
        <w:rPr>
          <w:sz w:val="22"/>
          <w:szCs w:val="22"/>
          <w:lang w:val="en-GB"/>
        </w:rPr>
        <w:t xml:space="preserve"> </w:t>
      </w:r>
      <w:r w:rsidRPr="00E45547">
        <w:rPr>
          <w:sz w:val="22"/>
          <w:szCs w:val="22"/>
          <w:lang w:val="en-GB"/>
        </w:rPr>
        <w:t>https://www.eulex-kosovo.eu/?page=2,6</w:t>
      </w:r>
    </w:p>
    <w:p w14:paraId="30550587" w14:textId="5F7E12B1" w:rsidR="00073CD8" w:rsidRPr="00C45A53" w:rsidRDefault="00073CD8" w:rsidP="00073CD8">
      <w:pPr>
        <w:pStyle w:val="PRAGHeading2"/>
        <w:numPr>
          <w:ilvl w:val="0"/>
          <w:numId w:val="0"/>
        </w:numPr>
        <w:ind w:left="426"/>
        <w:rPr>
          <w:sz w:val="22"/>
          <w:szCs w:val="22"/>
          <w:lang w:val="en-GB"/>
        </w:rPr>
      </w:pPr>
      <w:proofErr w:type="gramStart"/>
      <w:r w:rsidRPr="00C45A53">
        <w:rPr>
          <w:sz w:val="22"/>
          <w:szCs w:val="22"/>
          <w:lang w:val="en-GB"/>
        </w:rPr>
        <w:t>at</w:t>
      </w:r>
      <w:proofErr w:type="gramEnd"/>
      <w:r w:rsidRPr="00C45A53">
        <w:rPr>
          <w:sz w:val="22"/>
          <w:szCs w:val="22"/>
          <w:lang w:val="en-GB"/>
        </w:rPr>
        <w:t xml:space="preserve"> the latest 5 days before the deadline for the submission of applications</w:t>
      </w:r>
    </w:p>
    <w:p w14:paraId="088E135B"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Alteration or withdrawal of </w:t>
      </w:r>
      <w:r w:rsidR="00FF0AD1" w:rsidRPr="00C45A53">
        <w:rPr>
          <w:rStyle w:val="Strong"/>
          <w:sz w:val="22"/>
          <w:szCs w:val="22"/>
          <w:lang w:val="en-GB"/>
        </w:rPr>
        <w:t>a</w:t>
      </w:r>
      <w:r w:rsidRPr="00C45A53">
        <w:rPr>
          <w:rStyle w:val="Strong"/>
          <w:sz w:val="22"/>
          <w:szCs w:val="22"/>
          <w:lang w:val="en-GB"/>
        </w:rPr>
        <w:t>pplications</w:t>
      </w:r>
    </w:p>
    <w:p w14:paraId="4D8946AD" w14:textId="77777777" w:rsidR="00AA22A5" w:rsidRPr="00C45A53" w:rsidRDefault="00AA22A5" w:rsidP="00AA22A5">
      <w:pPr>
        <w:ind w:left="426"/>
        <w:jc w:val="both"/>
        <w:rPr>
          <w:sz w:val="22"/>
          <w:szCs w:val="22"/>
          <w:lang w:val="en-GB"/>
        </w:rPr>
      </w:pPr>
      <w:r w:rsidRPr="00C45A53">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22DA9572" w:rsidR="00AA22A5" w:rsidRDefault="00AA22A5" w:rsidP="00AA22A5">
      <w:pPr>
        <w:ind w:left="426"/>
        <w:jc w:val="both"/>
        <w:rPr>
          <w:sz w:val="22"/>
          <w:szCs w:val="22"/>
          <w:lang w:val="en-GB"/>
        </w:rPr>
      </w:pPr>
      <w:r w:rsidRPr="00C45A53">
        <w:rPr>
          <w:sz w:val="22"/>
          <w:szCs w:val="22"/>
          <w:lang w:val="en-GB"/>
        </w:rPr>
        <w:t xml:space="preserve">Any such notification of alteration or withdrawal shall be prepared and submitted in accordance with </w:t>
      </w:r>
      <w:r w:rsidR="00B65865" w:rsidRPr="00C45A53">
        <w:rPr>
          <w:sz w:val="22"/>
          <w:szCs w:val="22"/>
          <w:lang w:val="en-GB"/>
        </w:rPr>
        <w:t xml:space="preserve">precedent </w:t>
      </w:r>
      <w:r w:rsidRPr="00C45A53">
        <w:rPr>
          <w:sz w:val="22"/>
          <w:szCs w:val="22"/>
          <w:lang w:val="en-GB"/>
        </w:rPr>
        <w:t xml:space="preserve">item. The outer envelope (and the relevant inner envelope if used) must be marked </w:t>
      </w:r>
      <w:r w:rsidR="00FF0AD1" w:rsidRPr="00C45A53">
        <w:rPr>
          <w:sz w:val="22"/>
          <w:szCs w:val="22"/>
          <w:lang w:val="en-GB"/>
        </w:rPr>
        <w:t>‘</w:t>
      </w:r>
      <w:r w:rsidRPr="00C45A53">
        <w:rPr>
          <w:sz w:val="22"/>
          <w:szCs w:val="22"/>
          <w:lang w:val="en-GB"/>
        </w:rPr>
        <w:t>Alteration</w:t>
      </w:r>
      <w:r w:rsidR="00FF0AD1" w:rsidRPr="00C45A53">
        <w:rPr>
          <w:sz w:val="22"/>
          <w:szCs w:val="22"/>
          <w:lang w:val="en-GB"/>
        </w:rPr>
        <w:t>’</w:t>
      </w:r>
      <w:r w:rsidRPr="00C45A53">
        <w:rPr>
          <w:sz w:val="22"/>
          <w:szCs w:val="22"/>
          <w:lang w:val="en-GB"/>
        </w:rPr>
        <w:t xml:space="preserve"> or </w:t>
      </w:r>
      <w:r w:rsidR="00FF0AD1" w:rsidRPr="00C45A53">
        <w:rPr>
          <w:sz w:val="22"/>
          <w:szCs w:val="22"/>
          <w:lang w:val="en-GB"/>
        </w:rPr>
        <w:t>‘</w:t>
      </w:r>
      <w:r w:rsidRPr="00C45A53">
        <w:rPr>
          <w:sz w:val="22"/>
          <w:szCs w:val="22"/>
          <w:lang w:val="en-GB"/>
        </w:rPr>
        <w:t>Withdrawal</w:t>
      </w:r>
      <w:r w:rsidR="00FF0AD1" w:rsidRPr="00C45A53">
        <w:rPr>
          <w:sz w:val="22"/>
          <w:szCs w:val="22"/>
          <w:lang w:val="en-GB"/>
        </w:rPr>
        <w:t>’</w:t>
      </w:r>
      <w:r w:rsidRPr="00C45A53">
        <w:rPr>
          <w:sz w:val="22"/>
          <w:szCs w:val="22"/>
          <w:lang w:val="en-GB"/>
        </w:rPr>
        <w:t xml:space="preserve"> as appropriate.</w:t>
      </w:r>
      <w:r w:rsidRPr="00214A9F">
        <w:rPr>
          <w:sz w:val="22"/>
          <w:szCs w:val="22"/>
          <w:lang w:val="en-GB"/>
        </w:rPr>
        <w:t xml:space="preserve"> </w:t>
      </w: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5EBD8BBA" w:rsidR="00EA0609" w:rsidRPr="00EA0609" w:rsidRDefault="00051841" w:rsidP="005B6500">
      <w:pPr>
        <w:ind w:left="426" w:hanging="426"/>
        <w:rPr>
          <w:b/>
          <w:sz w:val="22"/>
          <w:szCs w:val="22"/>
          <w:lang w:val="en-GB"/>
        </w:rPr>
      </w:pPr>
      <w:r>
        <w:rPr>
          <w:b/>
          <w:sz w:val="22"/>
          <w:szCs w:val="22"/>
          <w:lang w:val="en-GB"/>
        </w:rPr>
        <w:t>2</w:t>
      </w:r>
      <w:r w:rsidR="004E7FB8">
        <w:rPr>
          <w:b/>
          <w:sz w:val="22"/>
          <w:szCs w:val="22"/>
          <w:lang w:val="en-GB"/>
        </w:rPr>
        <w:t>4</w:t>
      </w:r>
      <w:r w:rsidR="00EA0609">
        <w:rPr>
          <w:b/>
          <w:sz w:val="22"/>
          <w:szCs w:val="22"/>
          <w:lang w:val="en-GB"/>
        </w:rPr>
        <w:t>.</w:t>
      </w:r>
      <w:r w:rsidR="005B6500">
        <w:rPr>
          <w:b/>
          <w:sz w:val="22"/>
          <w:szCs w:val="22"/>
          <w:lang w:val="en-GB"/>
        </w:rPr>
        <w:tab/>
      </w:r>
      <w:r w:rsidR="00EA0609" w:rsidRPr="00EA0609">
        <w:rPr>
          <w:b/>
          <w:sz w:val="22"/>
          <w:szCs w:val="22"/>
          <w:lang w:val="en-GB"/>
        </w:rPr>
        <w:t>Legal basi</w:t>
      </w:r>
      <w:r w:rsidR="00EA0609" w:rsidRPr="00C45A53">
        <w:rPr>
          <w:b/>
          <w:sz w:val="22"/>
          <w:szCs w:val="22"/>
          <w:lang w:val="en-GB"/>
        </w:rPr>
        <w:t>s</w:t>
      </w:r>
      <w:r w:rsidR="00EA0609" w:rsidRPr="00C45A53">
        <w:rPr>
          <w:sz w:val="22"/>
          <w:szCs w:val="22"/>
          <w:vertAlign w:val="superscript"/>
          <w:lang w:val="en-GB"/>
        </w:rPr>
        <w:footnoteReference w:id="3"/>
      </w:r>
    </w:p>
    <w:p w14:paraId="152C92EC" w14:textId="2E5CEF56" w:rsidR="00796AC9" w:rsidRPr="004335D9" w:rsidRDefault="00C45A53" w:rsidP="00FA24DB">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w:t>
      </w:r>
      <w:r w:rsidR="00290E34">
        <w:rPr>
          <w:rStyle w:val="Emphasis"/>
          <w:i w:val="0"/>
          <w:sz w:val="22"/>
          <w:szCs w:val="22"/>
        </w:rPr>
        <w:t>FSP) 2018/856 of 8 June 2018,</w:t>
      </w:r>
      <w:r w:rsidRPr="00716494">
        <w:rPr>
          <w:rStyle w:val="Emphasis"/>
          <w:i w:val="0"/>
          <w:sz w:val="22"/>
          <w:szCs w:val="22"/>
        </w:rPr>
        <w:t xml:space="preserve"> Council Decision (CFSP) 2020/792 of 11 June 2020</w:t>
      </w:r>
      <w:r w:rsidR="00290E34">
        <w:rPr>
          <w:rStyle w:val="Emphasis"/>
          <w:i w:val="0"/>
          <w:sz w:val="22"/>
          <w:szCs w:val="22"/>
        </w:rPr>
        <w:t xml:space="preserve"> and </w:t>
      </w:r>
      <w:proofErr w:type="spellStart"/>
      <w:r w:rsidR="00290E34">
        <w:rPr>
          <w:rStyle w:val="Emphasis"/>
          <w:i w:val="0"/>
          <w:sz w:val="22"/>
          <w:szCs w:val="22"/>
        </w:rPr>
        <w:t>and</w:t>
      </w:r>
      <w:proofErr w:type="spellEnd"/>
      <w:r w:rsidR="00290E34">
        <w:rPr>
          <w:rStyle w:val="Emphasis"/>
          <w:i w:val="0"/>
          <w:sz w:val="22"/>
          <w:szCs w:val="22"/>
        </w:rPr>
        <w:t xml:space="preserve"> </w:t>
      </w:r>
      <w:r w:rsidR="00290E34" w:rsidRPr="00861781">
        <w:rPr>
          <w:rStyle w:val="Strong"/>
          <w:b w:val="0"/>
          <w:sz w:val="22"/>
          <w:szCs w:val="22"/>
          <w:lang w:val="en-GB"/>
        </w:rPr>
        <w:t>Council Decision</w:t>
      </w:r>
      <w:r w:rsidR="00290E34">
        <w:rPr>
          <w:rStyle w:val="Strong"/>
          <w:b w:val="0"/>
          <w:sz w:val="22"/>
          <w:szCs w:val="22"/>
          <w:lang w:val="en-GB"/>
        </w:rPr>
        <w:t xml:space="preserve"> (CFSP) 2021/904 of 03 June 2020</w:t>
      </w:r>
      <w:bookmarkStart w:id="0" w:name="_GoBack"/>
      <w:bookmarkEnd w:id="0"/>
      <w:r w:rsidR="00290E34">
        <w:rPr>
          <w:rStyle w:val="Strong"/>
          <w:b w:val="0"/>
          <w:sz w:val="22"/>
          <w:szCs w:val="22"/>
          <w:lang w:val="en-GB"/>
        </w:rPr>
        <w:t>.</w:t>
      </w:r>
    </w:p>
    <w:p w14:paraId="6A0D2A91" w14:textId="77777777" w:rsidR="00796AC9" w:rsidRPr="00EA0609" w:rsidRDefault="00796AC9" w:rsidP="00EA0609">
      <w:pPr>
        <w:ind w:left="426" w:right="4"/>
        <w:jc w:val="both"/>
        <w:rPr>
          <w:sz w:val="22"/>
          <w:szCs w:val="22"/>
          <w:lang w:val="en-GB"/>
        </w:rPr>
      </w:pPr>
    </w:p>
    <w:p w14:paraId="1626FDC8" w14:textId="107AB005" w:rsidR="00EA0609" w:rsidRPr="00EA0609" w:rsidRDefault="00051841" w:rsidP="005B6500">
      <w:pPr>
        <w:ind w:left="426" w:hanging="426"/>
        <w:rPr>
          <w:b/>
          <w:sz w:val="22"/>
          <w:szCs w:val="22"/>
          <w:lang w:val="en-GB"/>
        </w:rPr>
      </w:pPr>
      <w:r>
        <w:rPr>
          <w:b/>
          <w:sz w:val="22"/>
          <w:szCs w:val="22"/>
          <w:lang w:val="en-GB"/>
        </w:rPr>
        <w:t>2</w:t>
      </w:r>
      <w:r w:rsidR="004E7FB8">
        <w:rPr>
          <w:b/>
          <w:sz w:val="22"/>
          <w:szCs w:val="22"/>
          <w:lang w:val="en-GB"/>
        </w:rPr>
        <w:t>5</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5FCCB728" w14:textId="77777777" w:rsidR="007F4950" w:rsidRPr="00FC178F" w:rsidRDefault="007F4950" w:rsidP="007F4950">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Pr>
          <w:sz w:val="22"/>
          <w:szCs w:val="22"/>
          <w:lang w:val="en-GB"/>
        </w:rPr>
        <w:t>tender</w:t>
      </w:r>
      <w:r w:rsidRPr="00FC178F">
        <w:rPr>
          <w:sz w:val="22"/>
          <w:szCs w:val="22"/>
          <w:lang w:val="en-GB"/>
        </w:rPr>
        <w:t xml:space="preserve">s, which can be found at the following address: </w:t>
      </w:r>
      <w:hyperlink r:id="rId11" w:history="1">
        <w:r w:rsidRPr="00FC178F">
          <w:rPr>
            <w:rStyle w:val="Hyperlink"/>
            <w:sz w:val="22"/>
            <w:szCs w:val="22"/>
            <w:lang w:val="en-GB"/>
          </w:rPr>
          <w:t>http://ec.europa.eu/budget/graphs/inforeuro.html</w:t>
        </w:r>
      </w:hyperlink>
      <w:r w:rsidRPr="00FC178F">
        <w:rPr>
          <w:sz w:val="22"/>
          <w:szCs w:val="22"/>
          <w:lang w:val="en-GB"/>
        </w:rPr>
        <w:t>.</w:t>
      </w:r>
    </w:p>
    <w:p w14:paraId="5B86B680" w14:textId="273EA7BA" w:rsidR="00EA0609" w:rsidRPr="00EA0609" w:rsidRDefault="00EA0609" w:rsidP="0025703B">
      <w:pPr>
        <w:ind w:left="426"/>
        <w:jc w:val="both"/>
        <w:rPr>
          <w:i/>
          <w:lang w:val="en-GB"/>
        </w:rPr>
      </w:pPr>
    </w:p>
    <w:sectPr w:rsidR="00EA0609" w:rsidRPr="00EA06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E62D" w14:textId="77777777" w:rsidR="00FA24DB" w:rsidRDefault="00FA2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290E34">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290E34">
      <w:rPr>
        <w:noProof/>
        <w:sz w:val="18"/>
        <w:szCs w:val="18"/>
        <w:lang w:val="en-GB"/>
      </w:rPr>
      <w:t>6</w:t>
    </w:r>
    <w:r>
      <w:rPr>
        <w:noProof/>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E223" w14:textId="77777777" w:rsidR="00FA24DB" w:rsidRDefault="00FA2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1D29B1D" w14:textId="77777777" w:rsidR="00C102BD" w:rsidRDefault="00C102BD" w:rsidP="00C102BD">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50E8EAAA" w14:textId="77777777" w:rsidR="00AE41D2" w:rsidRPr="00C45A53" w:rsidRDefault="00AE41D2" w:rsidP="00AE41D2">
      <w:pPr>
        <w:pStyle w:val="FootnoteText"/>
      </w:pPr>
      <w:r w:rsidRPr="00C45A53">
        <w:rPr>
          <w:rStyle w:val="FootnoteReference"/>
        </w:rPr>
        <w:footnoteRef/>
      </w:r>
      <w:r w:rsidRPr="00C45A53">
        <w:t xml:space="preserve"> It is recommended to use registered mail in case the postmark would not be readable.</w:t>
      </w:r>
    </w:p>
  </w:footnote>
  <w:footnote w:id="3">
    <w:p w14:paraId="127F6602" w14:textId="77777777" w:rsidR="00EA0609" w:rsidRPr="00602FA2" w:rsidRDefault="00EA0609" w:rsidP="00AC773A">
      <w:pPr>
        <w:pStyle w:val="FootnoteText"/>
        <w:spacing w:after="60"/>
        <w:jc w:val="both"/>
        <w:rPr>
          <w:lang w:val="en-GB"/>
        </w:rPr>
      </w:pPr>
      <w:r w:rsidRPr="00C45A53">
        <w:rPr>
          <w:rStyle w:val="FootnoteReference"/>
        </w:rPr>
        <w:footnoteRef/>
      </w:r>
      <w:r w:rsidR="0085117D" w:rsidRPr="00C45A53">
        <w:rPr>
          <w:lang w:val="en-GB"/>
        </w:rPr>
        <w:t xml:space="preserve"> </w:t>
      </w:r>
      <w:r w:rsidRPr="00C45A53">
        <w:rPr>
          <w:lang w:val="en-GB"/>
        </w:rPr>
        <w:t>Please state any specific</w:t>
      </w:r>
      <w:r w:rsidR="00B2271A" w:rsidRPr="00C45A53">
        <w:rPr>
          <w:lang w:val="en-GB"/>
        </w:rPr>
        <w:t xml:space="preserve">ity </w:t>
      </w:r>
      <w:r w:rsidRPr="00C45A53">
        <w:rPr>
          <w:lang w:val="en-GB"/>
        </w:rPr>
        <w:t>that might have an impact on rules on participation (such as geographic or thematic</w:t>
      </w:r>
      <w:r w:rsidR="00B2271A" w:rsidRPr="00C45A53">
        <w:rPr>
          <w:lang w:val="en-GB"/>
        </w:rPr>
        <w:t xml:space="preserve"> </w:t>
      </w:r>
      <w:r w:rsidRPr="00C45A53">
        <w:rPr>
          <w:lang w:val="en-GB"/>
        </w:rPr>
        <w:t>or long/short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4780D" w14:textId="77777777" w:rsidR="00FA24DB" w:rsidRDefault="00FA2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EA9D" w14:textId="77777777" w:rsidR="00FA24DB" w:rsidRDefault="00FA2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897F" w14:textId="77777777" w:rsidR="00FA24DB" w:rsidRDefault="00FA2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2"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9"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3D54F5"/>
    <w:multiLevelType w:val="hybridMultilevel"/>
    <w:tmpl w:val="9ED8587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4"/>
  </w:num>
  <w:num w:numId="4">
    <w:abstractNumId w:val="13"/>
  </w:num>
  <w:num w:numId="5">
    <w:abstractNumId w:val="11"/>
  </w:num>
  <w:num w:numId="6">
    <w:abstractNumId w:val="19"/>
  </w:num>
  <w:num w:numId="7">
    <w:abstractNumId w:val="3"/>
  </w:num>
  <w:num w:numId="8">
    <w:abstractNumId w:val="5"/>
  </w:num>
  <w:num w:numId="9">
    <w:abstractNumId w:val="20"/>
  </w:num>
  <w:num w:numId="10">
    <w:abstractNumId w:val="17"/>
  </w:num>
  <w:num w:numId="11">
    <w:abstractNumId w:val="12"/>
  </w:num>
  <w:num w:numId="12">
    <w:abstractNumId w:val="3"/>
  </w:num>
  <w:num w:numId="13">
    <w:abstractNumId w:val="21"/>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6"/>
  </w:num>
  <w:num w:numId="18">
    <w:abstractNumId w:val="16"/>
  </w:num>
  <w:num w:numId="19">
    <w:abstractNumId w:val="3"/>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23"/>
  </w:num>
  <w:num w:numId="27">
    <w:abstractNumId w:val="2"/>
  </w:num>
  <w:num w:numId="28">
    <w:abstractNumId w:val="3"/>
    <w:lvlOverride w:ilvl="0">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84C"/>
    <w:rsid w:val="00001895"/>
    <w:rsid w:val="00004AC5"/>
    <w:rsid w:val="00005D6E"/>
    <w:rsid w:val="00017B82"/>
    <w:rsid w:val="00051841"/>
    <w:rsid w:val="000557AC"/>
    <w:rsid w:val="00057B45"/>
    <w:rsid w:val="0006275F"/>
    <w:rsid w:val="00073CD8"/>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703B"/>
    <w:rsid w:val="00260CBF"/>
    <w:rsid w:val="0028659D"/>
    <w:rsid w:val="00290E34"/>
    <w:rsid w:val="00297DA2"/>
    <w:rsid w:val="002A54FD"/>
    <w:rsid w:val="002C7CF4"/>
    <w:rsid w:val="002D3C7A"/>
    <w:rsid w:val="002F7735"/>
    <w:rsid w:val="00302A1B"/>
    <w:rsid w:val="003076CD"/>
    <w:rsid w:val="00312005"/>
    <w:rsid w:val="00315CF6"/>
    <w:rsid w:val="00322A8F"/>
    <w:rsid w:val="00327723"/>
    <w:rsid w:val="00330C3A"/>
    <w:rsid w:val="003356E3"/>
    <w:rsid w:val="00337E2A"/>
    <w:rsid w:val="003447D9"/>
    <w:rsid w:val="003474FC"/>
    <w:rsid w:val="003628A1"/>
    <w:rsid w:val="003907E7"/>
    <w:rsid w:val="00393CB9"/>
    <w:rsid w:val="0039666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0238"/>
    <w:rsid w:val="00473B36"/>
    <w:rsid w:val="004759A5"/>
    <w:rsid w:val="0048352B"/>
    <w:rsid w:val="00491AFD"/>
    <w:rsid w:val="004A62F5"/>
    <w:rsid w:val="004C05B2"/>
    <w:rsid w:val="004C39EE"/>
    <w:rsid w:val="004E1551"/>
    <w:rsid w:val="004E7FB8"/>
    <w:rsid w:val="004F27F5"/>
    <w:rsid w:val="004F48AA"/>
    <w:rsid w:val="004F7108"/>
    <w:rsid w:val="005365BF"/>
    <w:rsid w:val="005407B9"/>
    <w:rsid w:val="00547FDA"/>
    <w:rsid w:val="005526AA"/>
    <w:rsid w:val="005534B9"/>
    <w:rsid w:val="005663CA"/>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A00D2"/>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5EF"/>
    <w:rsid w:val="007B5E37"/>
    <w:rsid w:val="007B5E7C"/>
    <w:rsid w:val="007B6BEA"/>
    <w:rsid w:val="007D50CE"/>
    <w:rsid w:val="007D6573"/>
    <w:rsid w:val="007F4950"/>
    <w:rsid w:val="007F5EFA"/>
    <w:rsid w:val="00800859"/>
    <w:rsid w:val="00812890"/>
    <w:rsid w:val="008209E2"/>
    <w:rsid w:val="0083255E"/>
    <w:rsid w:val="00834237"/>
    <w:rsid w:val="00834802"/>
    <w:rsid w:val="00836307"/>
    <w:rsid w:val="00846A72"/>
    <w:rsid w:val="0085117D"/>
    <w:rsid w:val="00860C8E"/>
    <w:rsid w:val="00866A95"/>
    <w:rsid w:val="0088144C"/>
    <w:rsid w:val="008B6020"/>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3842"/>
    <w:rsid w:val="009D15E6"/>
    <w:rsid w:val="009D1ECF"/>
    <w:rsid w:val="009D3281"/>
    <w:rsid w:val="009F4C6C"/>
    <w:rsid w:val="009F4F7A"/>
    <w:rsid w:val="009F587C"/>
    <w:rsid w:val="00A02A0B"/>
    <w:rsid w:val="00A0441B"/>
    <w:rsid w:val="00A065F7"/>
    <w:rsid w:val="00A067E5"/>
    <w:rsid w:val="00A17C31"/>
    <w:rsid w:val="00A21D6F"/>
    <w:rsid w:val="00A2442F"/>
    <w:rsid w:val="00A27427"/>
    <w:rsid w:val="00A3658B"/>
    <w:rsid w:val="00A416F8"/>
    <w:rsid w:val="00A7354E"/>
    <w:rsid w:val="00AA22A5"/>
    <w:rsid w:val="00AB6787"/>
    <w:rsid w:val="00AC05ED"/>
    <w:rsid w:val="00AC3C8A"/>
    <w:rsid w:val="00AC4ADC"/>
    <w:rsid w:val="00AC773A"/>
    <w:rsid w:val="00AD55C0"/>
    <w:rsid w:val="00AD7E39"/>
    <w:rsid w:val="00AE41D2"/>
    <w:rsid w:val="00B03D4C"/>
    <w:rsid w:val="00B152FA"/>
    <w:rsid w:val="00B2271A"/>
    <w:rsid w:val="00B43693"/>
    <w:rsid w:val="00B53CF3"/>
    <w:rsid w:val="00B54792"/>
    <w:rsid w:val="00B65865"/>
    <w:rsid w:val="00B77C8E"/>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2603"/>
    <w:rsid w:val="00CA6501"/>
    <w:rsid w:val="00CB4BC1"/>
    <w:rsid w:val="00CC118D"/>
    <w:rsid w:val="00CC390B"/>
    <w:rsid w:val="00CC5DD2"/>
    <w:rsid w:val="00CD33C5"/>
    <w:rsid w:val="00CD379F"/>
    <w:rsid w:val="00CD5859"/>
    <w:rsid w:val="00CE2DED"/>
    <w:rsid w:val="00CF4F15"/>
    <w:rsid w:val="00CF5041"/>
    <w:rsid w:val="00D06492"/>
    <w:rsid w:val="00D067DA"/>
    <w:rsid w:val="00D23AC1"/>
    <w:rsid w:val="00D3784C"/>
    <w:rsid w:val="00D404E7"/>
    <w:rsid w:val="00D56FD2"/>
    <w:rsid w:val="00D7181A"/>
    <w:rsid w:val="00D777E5"/>
    <w:rsid w:val="00D80B98"/>
    <w:rsid w:val="00D8757C"/>
    <w:rsid w:val="00D93FDA"/>
    <w:rsid w:val="00DC6227"/>
    <w:rsid w:val="00DF02A7"/>
    <w:rsid w:val="00E04B6B"/>
    <w:rsid w:val="00E17808"/>
    <w:rsid w:val="00E23C0A"/>
    <w:rsid w:val="00E26496"/>
    <w:rsid w:val="00E27999"/>
    <w:rsid w:val="00E34488"/>
    <w:rsid w:val="00E42B75"/>
    <w:rsid w:val="00E4799E"/>
    <w:rsid w:val="00E51E24"/>
    <w:rsid w:val="00E57C91"/>
    <w:rsid w:val="00E8713A"/>
    <w:rsid w:val="00EA0467"/>
    <w:rsid w:val="00EA0609"/>
    <w:rsid w:val="00EA6C7C"/>
    <w:rsid w:val="00EB7A7E"/>
    <w:rsid w:val="00EC1F52"/>
    <w:rsid w:val="00EC56E1"/>
    <w:rsid w:val="00EF7595"/>
    <w:rsid w:val="00F15DF2"/>
    <w:rsid w:val="00F33CD5"/>
    <w:rsid w:val="00F36595"/>
    <w:rsid w:val="00F47AC0"/>
    <w:rsid w:val="00F51255"/>
    <w:rsid w:val="00F65592"/>
    <w:rsid w:val="00F747E1"/>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52788402">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1541612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document.do?isAnnexes=tru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funding-tenders/opportunities/portal/screen/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1A34-5106-40E3-AE6E-4142BF0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Edona Zeneli</cp:lastModifiedBy>
  <cp:revision>8</cp:revision>
  <dcterms:created xsi:type="dcterms:W3CDTF">2021-07-27T12:35:00Z</dcterms:created>
  <dcterms:modified xsi:type="dcterms:W3CDTF">2021-08-18T09:51:00Z</dcterms:modified>
</cp:coreProperties>
</file>