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E660" w14:textId="77777777" w:rsidR="0047783A" w:rsidRPr="00D45256" w:rsidRDefault="0047783A" w:rsidP="00D45256">
      <w:pPr>
        <w:pStyle w:val="Heading1"/>
        <w:rPr>
          <w:lang w:val="en-IE"/>
        </w:rPr>
      </w:pPr>
      <w:bookmarkStart w:id="0" w:name="_Toc42488069"/>
      <w:r w:rsidRPr="00D45256">
        <w:rPr>
          <w:lang w:val="en-IE"/>
        </w:rPr>
        <w:t>A.</w:t>
      </w:r>
      <w:r w:rsidRPr="00D45256">
        <w:rPr>
          <w:lang w:val="en-IE"/>
        </w:rPr>
        <w:tab/>
        <w:t>INSTRUCTIONS TO TENDERERS</w:t>
      </w:r>
      <w:bookmarkEnd w:id="0"/>
    </w:p>
    <w:p w14:paraId="4730BCA1" w14:textId="2F92B08B" w:rsidR="0047783A" w:rsidRPr="00E82463" w:rsidRDefault="0047783A" w:rsidP="00D45256">
      <w:pPr>
        <w:pStyle w:val="Subtitle"/>
        <w:spacing w:after="240"/>
        <w:rPr>
          <w:rFonts w:ascii="Times New Roman" w:hAnsi="Times New Roman"/>
          <w:szCs w:val="28"/>
          <w:lang w:val="en-GB"/>
        </w:rPr>
      </w:pPr>
      <w:r w:rsidRPr="00E82463">
        <w:rPr>
          <w:rFonts w:ascii="Times New Roman" w:hAnsi="Times New Roman"/>
          <w:szCs w:val="28"/>
          <w:lang w:val="en-GB"/>
        </w:rPr>
        <w:t xml:space="preserve">PUBLICATION REF.: </w:t>
      </w:r>
      <w:bookmarkStart w:id="1" w:name="_Hlk201737532"/>
      <w:r w:rsidR="007125FD" w:rsidRPr="007125FD">
        <w:rPr>
          <w:rFonts w:ascii="Times New Roman" w:hAnsi="Times New Roman"/>
          <w:szCs w:val="28"/>
          <w:lang w:val="en-GB"/>
        </w:rPr>
        <w:t>PROC/1381/25/Supply of Medicaments and Medical Products</w:t>
      </w:r>
      <w:r w:rsidR="00413500">
        <w:rPr>
          <w:rFonts w:ascii="Times New Roman" w:hAnsi="Times New Roman"/>
          <w:szCs w:val="28"/>
          <w:lang w:val="en-GB"/>
        </w:rPr>
        <w:t xml:space="preserve"> No.8</w:t>
      </w:r>
      <w:bookmarkEnd w:id="1"/>
    </w:p>
    <w:p w14:paraId="33C13877" w14:textId="3BADC86C"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w:t>
      </w:r>
      <w:r w:rsidR="004531C7">
        <w:rPr>
          <w:rFonts w:ascii="Times New Roman" w:hAnsi="Times New Roman"/>
          <w:sz w:val="22"/>
          <w:lang w:val="en-GB"/>
        </w:rPr>
        <w:t xml:space="preserve">main, </w:t>
      </w:r>
      <w:r w:rsidR="0047783A" w:rsidRPr="00E82463">
        <w:rPr>
          <w:rFonts w:ascii="Times New Roman" w:hAnsi="Times New Roman"/>
          <w:sz w:val="22"/>
          <w:lang w:val="en-GB"/>
        </w:rPr>
        <w:t xml:space="preserve">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614BD5A"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997B0F">
        <w:rPr>
          <w:rStyle w:val="Hyperlink"/>
          <w:rFonts w:ascii="Times New Roman" w:hAnsi="Times New Roman"/>
          <w:sz w:val="22"/>
          <w:szCs w:val="22"/>
          <w:lang w:val="en-GB"/>
        </w:rPr>
        <w:t xml:space="preserve"> </w:t>
      </w:r>
      <w:hyperlink r:id="rId8" w:history="1">
        <w:r w:rsidR="00FC5673" w:rsidRPr="00D45256">
          <w:rPr>
            <w:rStyle w:val="Hyperlink"/>
            <w:rFonts w:ascii="Times New Roman" w:hAnsi="Times New Roman"/>
            <w:b w:val="0"/>
            <w:sz w:val="22"/>
            <w:szCs w:val="22"/>
            <w:lang w:val="en-GB"/>
          </w:rPr>
          <w:t>https://wikis.ec.europa.eu/display/ExactExternalWiki/ePRAG</w:t>
        </w:r>
      </w:hyperlink>
      <w:r w:rsidRPr="00E93182">
        <w:rPr>
          <w:rFonts w:ascii="Times New Roman" w:hAnsi="Times New Roman"/>
          <w:sz w:val="22"/>
          <w:szCs w:val="22"/>
          <w:lang w:val="en-GB"/>
        </w:rPr>
        <w:t>).</w:t>
      </w:r>
    </w:p>
    <w:p w14:paraId="5CFB45BA" w14:textId="36EFE8D0" w:rsidR="0047783A" w:rsidRPr="00D45256" w:rsidRDefault="00A633C6" w:rsidP="00D45256">
      <w:pPr>
        <w:pStyle w:val="Heading1"/>
        <w:rPr>
          <w:lang w:val="en-IE"/>
        </w:rPr>
      </w:pPr>
      <w:bookmarkStart w:id="2" w:name="_Toc42488070"/>
      <w:r w:rsidRPr="00D45256">
        <w:rPr>
          <w:lang w:val="en-IE"/>
        </w:rPr>
        <w:t>1.</w:t>
      </w:r>
      <w:r w:rsidR="00E93182" w:rsidRPr="00D45256">
        <w:rPr>
          <w:lang w:val="en-IE"/>
        </w:rPr>
        <w:tab/>
      </w:r>
      <w:r w:rsidR="0047783A" w:rsidRPr="00D45256">
        <w:rPr>
          <w:lang w:val="en-IE"/>
        </w:rPr>
        <w:t>Supplies to be provided</w:t>
      </w:r>
      <w:bookmarkEnd w:id="2"/>
    </w:p>
    <w:p w14:paraId="661304B8" w14:textId="6BF05438" w:rsidR="00413500" w:rsidRPr="00F578F3" w:rsidRDefault="0047783A" w:rsidP="00413500">
      <w:pPr>
        <w:pStyle w:val="Heading2"/>
        <w:keepNext w:val="0"/>
        <w:widowControl w:val="0"/>
        <w:numPr>
          <w:ilvl w:val="1"/>
          <w:numId w:val="39"/>
        </w:numPr>
        <w:tabs>
          <w:tab w:val="left" w:pos="709"/>
        </w:tabs>
        <w:jc w:val="both"/>
        <w:rPr>
          <w:rFonts w:ascii="Times New Roman" w:hAnsi="Times New Roman"/>
          <w:sz w:val="22"/>
          <w:lang w:val="en-GB"/>
        </w:rPr>
      </w:pPr>
      <w:r w:rsidRPr="00E82463">
        <w:rPr>
          <w:rFonts w:ascii="Times New Roman" w:hAnsi="Times New Roman"/>
          <w:sz w:val="22"/>
          <w:lang w:val="en-GB"/>
        </w:rPr>
        <w:t xml:space="preserve">The subject </w:t>
      </w:r>
      <w:bookmarkStart w:id="3" w:name="_Ref499723935"/>
      <w:bookmarkStart w:id="4" w:name="_Ref500330319"/>
      <w:r w:rsidR="00413500" w:rsidRPr="00F578F3">
        <w:rPr>
          <w:rFonts w:ascii="Times New Roman" w:hAnsi="Times New Roman"/>
          <w:sz w:val="22"/>
          <w:lang w:val="en-GB"/>
        </w:rPr>
        <w:t>of the framework contract is the supply and delivery by the Contractor of Medicaments</w:t>
      </w:r>
      <w:r w:rsidR="00413500">
        <w:rPr>
          <w:rFonts w:ascii="Times New Roman" w:hAnsi="Times New Roman"/>
          <w:sz w:val="22"/>
          <w:lang w:val="en-GB"/>
        </w:rPr>
        <w:t xml:space="preserve"> </w:t>
      </w:r>
      <w:r w:rsidR="00413500" w:rsidRPr="00F578F3">
        <w:rPr>
          <w:rFonts w:ascii="Times New Roman" w:hAnsi="Times New Roman"/>
          <w:sz w:val="22"/>
          <w:lang w:val="en-GB"/>
        </w:rPr>
        <w:t xml:space="preserve">and </w:t>
      </w:r>
      <w:r w:rsidR="00413500">
        <w:rPr>
          <w:rFonts w:ascii="Times New Roman" w:hAnsi="Times New Roman"/>
          <w:sz w:val="22"/>
          <w:lang w:val="en-GB"/>
        </w:rPr>
        <w:t xml:space="preserve">Medical Products </w:t>
      </w:r>
      <w:r w:rsidR="00413500" w:rsidRPr="00F578F3">
        <w:rPr>
          <w:rFonts w:ascii="Times New Roman" w:hAnsi="Times New Roman"/>
          <w:sz w:val="22"/>
          <w:lang w:val="en-GB"/>
        </w:rPr>
        <w:t xml:space="preserve">(see Annex II and III of the Tender Dossier for the relevant description of the items and the yearly estimated quantities of items that MAY be purchased during the duration of the framework contract) </w:t>
      </w:r>
      <w:r w:rsidR="00413500" w:rsidRPr="00F578F3">
        <w:rPr>
          <w:rFonts w:ascii="Times New Roman" w:hAnsi="Times New Roman"/>
          <w:sz w:val="22"/>
          <w:szCs w:val="22"/>
          <w:lang w:val="en-GB"/>
        </w:rPr>
        <w:t xml:space="preserve">in </w:t>
      </w:r>
      <w:r w:rsidR="00413500">
        <w:rPr>
          <w:rFonts w:ascii="Times New Roman" w:hAnsi="Times New Roman"/>
          <w:sz w:val="22"/>
          <w:szCs w:val="22"/>
          <w:lang w:val="en-GB"/>
        </w:rPr>
        <w:t>2 (two</w:t>
      </w:r>
      <w:r w:rsidR="00413500" w:rsidRPr="00F578F3">
        <w:rPr>
          <w:rFonts w:ascii="Times New Roman" w:hAnsi="Times New Roman"/>
          <w:sz w:val="22"/>
          <w:szCs w:val="22"/>
          <w:lang w:val="en-GB"/>
        </w:rPr>
        <w:t>) lots at EULEX Kosovo, Pristina, DAP</w:t>
      </w:r>
      <w:r w:rsidR="00413500" w:rsidRPr="00F578F3">
        <w:rPr>
          <w:rFonts w:ascii="Times New Roman" w:hAnsi="Times New Roman"/>
          <w:sz w:val="22"/>
          <w:szCs w:val="22"/>
          <w:lang w:val="en-GB"/>
        </w:rPr>
        <w:footnoteReference w:id="1"/>
      </w:r>
      <w:r w:rsidR="00413500" w:rsidRPr="00F578F3">
        <w:rPr>
          <w:rFonts w:ascii="Times New Roman" w:hAnsi="Times New Roman"/>
          <w:sz w:val="22"/>
          <w:lang w:val="en-GB"/>
        </w:rPr>
        <w:t>.</w:t>
      </w:r>
    </w:p>
    <w:tbl>
      <w:tblPr>
        <w:tblW w:w="6865" w:type="dxa"/>
        <w:tblInd w:w="803" w:type="dxa"/>
        <w:tblLook w:val="01E0" w:firstRow="1" w:lastRow="1" w:firstColumn="1" w:lastColumn="1" w:noHBand="0" w:noVBand="0"/>
      </w:tblPr>
      <w:tblGrid>
        <w:gridCol w:w="1465"/>
        <w:gridCol w:w="5400"/>
      </w:tblGrid>
      <w:tr w:rsidR="00413500" w:rsidRPr="00F578F3" w14:paraId="7216D56A" w14:textId="77777777" w:rsidTr="00D9543F">
        <w:tc>
          <w:tcPr>
            <w:tcW w:w="1465" w:type="dxa"/>
            <w:tcBorders>
              <w:top w:val="single" w:sz="4" w:space="0" w:color="auto"/>
              <w:left w:val="single" w:sz="4" w:space="0" w:color="auto"/>
              <w:bottom w:val="single" w:sz="4" w:space="0" w:color="auto"/>
              <w:right w:val="single" w:sz="4" w:space="0" w:color="auto"/>
            </w:tcBorders>
          </w:tcPr>
          <w:p w14:paraId="02A8F943" w14:textId="77777777" w:rsidR="00413500" w:rsidRPr="00F578F3" w:rsidRDefault="00413500" w:rsidP="00D9543F">
            <w:pPr>
              <w:spacing w:before="0" w:after="0"/>
              <w:rPr>
                <w:rFonts w:ascii="Times New Roman" w:hAnsi="Times New Roman"/>
                <w:snapToGrid/>
                <w:sz w:val="22"/>
                <w:szCs w:val="22"/>
              </w:rPr>
            </w:pPr>
            <w:r w:rsidRPr="00F578F3">
              <w:rPr>
                <w:rFonts w:ascii="Times New Roman" w:hAnsi="Times New Roman"/>
                <w:snapToGrid/>
                <w:sz w:val="22"/>
                <w:szCs w:val="22"/>
              </w:rPr>
              <w:t>Lot 1</w:t>
            </w:r>
          </w:p>
        </w:tc>
        <w:tc>
          <w:tcPr>
            <w:tcW w:w="5400" w:type="dxa"/>
            <w:tcBorders>
              <w:top w:val="single" w:sz="4" w:space="0" w:color="auto"/>
              <w:left w:val="single" w:sz="4" w:space="0" w:color="auto"/>
              <w:bottom w:val="single" w:sz="4" w:space="0" w:color="auto"/>
              <w:right w:val="single" w:sz="4" w:space="0" w:color="auto"/>
            </w:tcBorders>
          </w:tcPr>
          <w:p w14:paraId="276F40D4" w14:textId="77777777" w:rsidR="00413500" w:rsidRPr="00F578F3" w:rsidRDefault="00413500" w:rsidP="00D9543F">
            <w:pPr>
              <w:tabs>
                <w:tab w:val="left" w:pos="1865"/>
                <w:tab w:val="center" w:pos="2592"/>
              </w:tabs>
              <w:spacing w:before="0" w:after="0"/>
              <w:jc w:val="center"/>
              <w:rPr>
                <w:rFonts w:ascii="Times New Roman" w:hAnsi="Times New Roman"/>
                <w:snapToGrid/>
                <w:sz w:val="22"/>
                <w:szCs w:val="22"/>
              </w:rPr>
            </w:pPr>
            <w:r w:rsidRPr="00F578F3">
              <w:rPr>
                <w:rFonts w:ascii="Times New Roman" w:hAnsi="Times New Roman"/>
                <w:snapToGrid/>
                <w:sz w:val="22"/>
                <w:szCs w:val="22"/>
              </w:rPr>
              <w:t>Medicaments</w:t>
            </w:r>
          </w:p>
        </w:tc>
      </w:tr>
      <w:tr w:rsidR="00413500" w:rsidRPr="00F578F3" w14:paraId="002010B6" w14:textId="77777777" w:rsidTr="00D9543F">
        <w:tc>
          <w:tcPr>
            <w:tcW w:w="1465" w:type="dxa"/>
            <w:tcBorders>
              <w:top w:val="single" w:sz="4" w:space="0" w:color="auto"/>
              <w:left w:val="single" w:sz="4" w:space="0" w:color="auto"/>
              <w:bottom w:val="single" w:sz="4" w:space="0" w:color="auto"/>
              <w:right w:val="single" w:sz="4" w:space="0" w:color="auto"/>
            </w:tcBorders>
          </w:tcPr>
          <w:p w14:paraId="71063087" w14:textId="77777777" w:rsidR="00413500" w:rsidRPr="00F578F3" w:rsidRDefault="00413500" w:rsidP="00D9543F">
            <w:pPr>
              <w:spacing w:before="0" w:after="0"/>
              <w:rPr>
                <w:rFonts w:ascii="Times New Roman" w:hAnsi="Times New Roman"/>
                <w:snapToGrid/>
                <w:sz w:val="22"/>
                <w:szCs w:val="22"/>
              </w:rPr>
            </w:pPr>
            <w:r w:rsidRPr="00F578F3">
              <w:rPr>
                <w:rFonts w:ascii="Times New Roman" w:hAnsi="Times New Roman"/>
                <w:snapToGrid/>
                <w:sz w:val="22"/>
                <w:szCs w:val="22"/>
              </w:rPr>
              <w:t>Lot 2</w:t>
            </w:r>
          </w:p>
        </w:tc>
        <w:tc>
          <w:tcPr>
            <w:tcW w:w="5400" w:type="dxa"/>
            <w:tcBorders>
              <w:top w:val="single" w:sz="4" w:space="0" w:color="auto"/>
              <w:left w:val="single" w:sz="4" w:space="0" w:color="auto"/>
              <w:bottom w:val="single" w:sz="4" w:space="0" w:color="auto"/>
              <w:right w:val="single" w:sz="4" w:space="0" w:color="auto"/>
            </w:tcBorders>
          </w:tcPr>
          <w:p w14:paraId="15808FF9" w14:textId="77777777" w:rsidR="00413500" w:rsidRPr="00F578F3" w:rsidRDefault="00413500" w:rsidP="00D9543F">
            <w:pPr>
              <w:spacing w:before="0" w:after="0"/>
              <w:jc w:val="center"/>
              <w:rPr>
                <w:rFonts w:ascii="Times New Roman" w:hAnsi="Times New Roman"/>
                <w:snapToGrid/>
                <w:sz w:val="22"/>
                <w:szCs w:val="22"/>
              </w:rPr>
            </w:pPr>
            <w:r w:rsidRPr="00F06A3B">
              <w:rPr>
                <w:rFonts w:ascii="Times New Roman" w:hAnsi="Times New Roman"/>
                <w:snapToGrid/>
                <w:sz w:val="22"/>
                <w:szCs w:val="22"/>
              </w:rPr>
              <w:t>Medical Products</w:t>
            </w:r>
          </w:p>
        </w:tc>
      </w:tr>
    </w:tbl>
    <w:p w14:paraId="4F2C8929" w14:textId="5E89DD29" w:rsidR="000B7CA0" w:rsidRPr="000B7CA0" w:rsidRDefault="000B7CA0" w:rsidP="000B7CA0">
      <w:pPr>
        <w:widowControl w:val="0"/>
        <w:tabs>
          <w:tab w:val="left" w:pos="709"/>
        </w:tabs>
        <w:ind w:left="567" w:hanging="567"/>
        <w:jc w:val="both"/>
        <w:outlineLvl w:val="1"/>
        <w:rPr>
          <w:rFonts w:ascii="Times New Roman" w:hAnsi="Times New Roman"/>
          <w:sz w:val="22"/>
        </w:rPr>
      </w:pPr>
      <w:r>
        <w:rPr>
          <w:rFonts w:ascii="Times New Roman" w:hAnsi="Times New Roman"/>
          <w:sz w:val="22"/>
        </w:rPr>
        <w:t xml:space="preserve">  </w:t>
      </w:r>
      <w:r w:rsidR="006E12B0">
        <w:rPr>
          <w:rFonts w:ascii="Times New Roman" w:hAnsi="Times New Roman"/>
          <w:sz w:val="22"/>
        </w:rPr>
        <w:t xml:space="preserve">     </w:t>
      </w:r>
      <w:r>
        <w:rPr>
          <w:rFonts w:ascii="Times New Roman" w:hAnsi="Times New Roman"/>
          <w:sz w:val="22"/>
        </w:rPr>
        <w:t xml:space="preserve"> </w:t>
      </w:r>
      <w:r w:rsidRPr="000B7CA0">
        <w:rPr>
          <w:rFonts w:ascii="Times New Roman" w:hAnsi="Times New Roman"/>
          <w:sz w:val="22"/>
        </w:rPr>
        <w:t>The signature of the framework contract imposes no obligation on the Contracting Authority to                                                                                                       purchase the quantities as estimated in Annex II and III.</w:t>
      </w:r>
    </w:p>
    <w:p w14:paraId="1E2B2BEB" w14:textId="77777777" w:rsidR="00413500" w:rsidRPr="00F578F3" w:rsidRDefault="00413500" w:rsidP="00413500">
      <w:pPr>
        <w:widowControl w:val="0"/>
        <w:tabs>
          <w:tab w:val="left" w:pos="709"/>
        </w:tabs>
        <w:ind w:left="567" w:hanging="567"/>
        <w:jc w:val="both"/>
        <w:outlineLvl w:val="1"/>
        <w:rPr>
          <w:rFonts w:ascii="Times New Roman" w:hAnsi="Times New Roman"/>
          <w:sz w:val="22"/>
        </w:rPr>
      </w:pPr>
      <w:r w:rsidRPr="00F578F3">
        <w:rPr>
          <w:rFonts w:ascii="Times New Roman" w:hAnsi="Times New Roman"/>
          <w:sz w:val="22"/>
        </w:rPr>
        <w:tab/>
        <w:t>Deliveries shall ONLY take place following the issuance of “purchase orders” to be issued by the Contracting Authority during the duration of this framework contract.</w:t>
      </w:r>
    </w:p>
    <w:p w14:paraId="79409A67" w14:textId="77777777" w:rsidR="00413500" w:rsidRPr="001265F5" w:rsidRDefault="00413500" w:rsidP="00413500">
      <w:pPr>
        <w:jc w:val="both"/>
        <w:rPr>
          <w:rFonts w:ascii="Times New Roman" w:hAnsi="Times New Roman"/>
          <w:sz w:val="22"/>
        </w:rPr>
      </w:pPr>
      <w:r w:rsidRPr="00F578F3">
        <w:rPr>
          <w:rFonts w:ascii="Times New Roman" w:hAnsi="Times New Roman"/>
          <w:sz w:val="22"/>
        </w:rPr>
        <w:tab/>
      </w:r>
      <w:r w:rsidRPr="001265F5">
        <w:rPr>
          <w:rFonts w:ascii="Times New Roman" w:hAnsi="Times New Roman"/>
          <w:sz w:val="22"/>
        </w:rPr>
        <w:t>Deliveries shall take place as follows:</w:t>
      </w:r>
    </w:p>
    <w:p w14:paraId="3E705EEC" w14:textId="1F522D5B" w:rsidR="00413500" w:rsidRPr="006F3CB3" w:rsidRDefault="00413500" w:rsidP="00413500">
      <w:pPr>
        <w:jc w:val="both"/>
        <w:rPr>
          <w:rFonts w:ascii="Times New Roman" w:hAnsi="Times New Roman"/>
          <w:sz w:val="22"/>
        </w:rPr>
      </w:pPr>
      <w:r w:rsidRPr="006F3CB3">
        <w:rPr>
          <w:rFonts w:ascii="Times New Roman" w:hAnsi="Times New Roman"/>
          <w:b/>
          <w:bCs/>
          <w:sz w:val="22"/>
        </w:rPr>
        <w:t>For Lot 1:</w:t>
      </w:r>
      <w:r w:rsidRPr="006F3CB3">
        <w:rPr>
          <w:rFonts w:ascii="Times New Roman" w:hAnsi="Times New Roman"/>
          <w:sz w:val="22"/>
        </w:rPr>
        <w:t>  within 60 calendar days from the date of the signature of a</w:t>
      </w:r>
      <w:r w:rsidR="002E0A62">
        <w:rPr>
          <w:rFonts w:ascii="Times New Roman" w:hAnsi="Times New Roman"/>
          <w:sz w:val="22"/>
        </w:rPr>
        <w:t xml:space="preserve">n </w:t>
      </w:r>
      <w:r w:rsidRPr="006F3CB3">
        <w:rPr>
          <w:rFonts w:ascii="Times New Roman" w:hAnsi="Times New Roman"/>
          <w:sz w:val="22"/>
        </w:rPr>
        <w:t>Order</w:t>
      </w:r>
      <w:r w:rsidR="006E12B0">
        <w:rPr>
          <w:rFonts w:ascii="Times New Roman" w:hAnsi="Times New Roman"/>
          <w:sz w:val="22"/>
        </w:rPr>
        <w:t xml:space="preserve"> Form</w:t>
      </w:r>
      <w:r w:rsidRPr="006F3CB3">
        <w:rPr>
          <w:rFonts w:ascii="Times New Roman" w:hAnsi="Times New Roman"/>
          <w:sz w:val="22"/>
        </w:rPr>
        <w:t xml:space="preserve"> by both parties.</w:t>
      </w:r>
    </w:p>
    <w:p w14:paraId="77F66729" w14:textId="2EA2B71A" w:rsidR="00413500" w:rsidRPr="006F3CB3" w:rsidRDefault="00413500" w:rsidP="00413500">
      <w:pPr>
        <w:jc w:val="both"/>
        <w:rPr>
          <w:rFonts w:ascii="Times New Roman" w:hAnsi="Times New Roman"/>
          <w:sz w:val="22"/>
        </w:rPr>
      </w:pPr>
      <w:r w:rsidRPr="006F3CB3">
        <w:rPr>
          <w:rFonts w:ascii="Times New Roman" w:hAnsi="Times New Roman"/>
          <w:b/>
          <w:bCs/>
          <w:sz w:val="22"/>
        </w:rPr>
        <w:t>For Lot 2:</w:t>
      </w:r>
      <w:r w:rsidRPr="006F3CB3">
        <w:rPr>
          <w:rFonts w:ascii="Times New Roman" w:hAnsi="Times New Roman"/>
          <w:sz w:val="22"/>
        </w:rPr>
        <w:t xml:space="preserve"> within 90 calendar days from the date of the signature of a</w:t>
      </w:r>
      <w:r w:rsidR="002E0A62">
        <w:rPr>
          <w:rFonts w:ascii="Times New Roman" w:hAnsi="Times New Roman"/>
          <w:sz w:val="22"/>
        </w:rPr>
        <w:t>n</w:t>
      </w:r>
      <w:r w:rsidR="006E12B0">
        <w:rPr>
          <w:rFonts w:ascii="Times New Roman" w:hAnsi="Times New Roman"/>
          <w:sz w:val="22"/>
        </w:rPr>
        <w:t xml:space="preserve"> </w:t>
      </w:r>
      <w:r w:rsidRPr="006F3CB3">
        <w:rPr>
          <w:rFonts w:ascii="Times New Roman" w:hAnsi="Times New Roman"/>
          <w:sz w:val="22"/>
        </w:rPr>
        <w:t>Order</w:t>
      </w:r>
      <w:r w:rsidR="006E12B0">
        <w:rPr>
          <w:rFonts w:ascii="Times New Roman" w:hAnsi="Times New Roman"/>
          <w:sz w:val="22"/>
        </w:rPr>
        <w:t xml:space="preserve"> Form</w:t>
      </w:r>
      <w:r w:rsidRPr="006F3CB3">
        <w:rPr>
          <w:rFonts w:ascii="Times New Roman" w:hAnsi="Times New Roman"/>
          <w:sz w:val="22"/>
        </w:rPr>
        <w:t xml:space="preserve"> by both parties.</w:t>
      </w:r>
    </w:p>
    <w:p w14:paraId="42E09185" w14:textId="77777777" w:rsidR="00413500" w:rsidRPr="001265F5" w:rsidRDefault="00413500" w:rsidP="00413500">
      <w:pPr>
        <w:jc w:val="both"/>
        <w:rPr>
          <w:rFonts w:ascii="Times New Roman" w:hAnsi="Times New Roman"/>
          <w:snapToGrid/>
          <w:sz w:val="24"/>
          <w:szCs w:val="24"/>
        </w:rPr>
      </w:pPr>
      <w:r w:rsidRPr="001265F5">
        <w:rPr>
          <w:rFonts w:ascii="Times New Roman" w:hAnsi="Times New Roman"/>
          <w:sz w:val="22"/>
        </w:rPr>
        <w:t>The Contractor shall bear all risks relating to the goods until provisional acceptance at destination. The supplies shall be packaged so as to prevent their damage or deterioration in transit to their destination.</w:t>
      </w:r>
    </w:p>
    <w:p w14:paraId="3C3B7E72" w14:textId="4A4A7F85" w:rsidR="00413500" w:rsidRPr="008A3F35" w:rsidRDefault="00413500" w:rsidP="00413500">
      <w:pPr>
        <w:widowControl w:val="0"/>
        <w:tabs>
          <w:tab w:val="left" w:pos="709"/>
        </w:tabs>
        <w:jc w:val="both"/>
        <w:outlineLvl w:val="1"/>
        <w:rPr>
          <w:rFonts w:ascii="Times New Roman" w:hAnsi="Times New Roman"/>
          <w:sz w:val="22"/>
        </w:rPr>
      </w:pPr>
      <w:r w:rsidRPr="001265F5">
        <w:rPr>
          <w:rFonts w:ascii="Times New Roman" w:hAnsi="Times New Roman"/>
          <w:sz w:val="22"/>
        </w:rPr>
        <w:t>The delivery shall take place on a working day and during the normal working hours of</w:t>
      </w:r>
      <w:r w:rsidR="006E12B0">
        <w:rPr>
          <w:rFonts w:ascii="Times New Roman" w:hAnsi="Times New Roman"/>
          <w:sz w:val="22"/>
        </w:rPr>
        <w:t xml:space="preserve"> </w:t>
      </w:r>
      <w:r w:rsidRPr="001265F5">
        <w:rPr>
          <w:rFonts w:ascii="Times New Roman" w:hAnsi="Times New Roman"/>
          <w:sz w:val="22"/>
        </w:rPr>
        <w:t>EULEX Kosovo; the “working hour schedule” shall be accurately specified at the time of the signature of the contract.</w:t>
      </w:r>
    </w:p>
    <w:p w14:paraId="435D1BB3" w14:textId="516EC12A" w:rsidR="0047783A" w:rsidRPr="00E30844" w:rsidRDefault="00E82463" w:rsidP="00413500">
      <w:pPr>
        <w:pStyle w:val="Heading2"/>
        <w:keepNext w:val="0"/>
        <w:spacing w:before="0"/>
        <w:ind w:left="567" w:hanging="567"/>
        <w:jc w:val="both"/>
        <w:rPr>
          <w:rFonts w:ascii="Times New Roman" w:hAnsi="Times New Roman"/>
          <w:sz w:val="22"/>
          <w:lang w:val="en-GB"/>
        </w:rPr>
      </w:pPr>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3"/>
      <w:bookmarkEnd w:id="4"/>
    </w:p>
    <w:p w14:paraId="65FC8B4D" w14:textId="7B49F591" w:rsidR="0047783A" w:rsidRPr="00E82463" w:rsidRDefault="0047783A" w:rsidP="00E93182">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1.</w:t>
      </w:r>
      <w:r w:rsidR="00E30844">
        <w:rPr>
          <w:rFonts w:ascii="Times New Roman" w:hAnsi="Times New Roman"/>
          <w:sz w:val="22"/>
          <w:lang w:val="en-GB"/>
        </w:rPr>
        <w:t>3</w:t>
      </w:r>
      <w:r w:rsidRPr="00E82463">
        <w:rPr>
          <w:rFonts w:ascii="Times New Roman" w:hAnsi="Times New Roman"/>
          <w:sz w:val="22"/>
          <w:lang w:val="en-GB"/>
        </w:rPr>
        <w:t xml:space="preserve">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p>
    <w:p w14:paraId="2478EAAE" w14:textId="587ADCBF" w:rsidR="0047783A" w:rsidRPr="001A2BC4" w:rsidRDefault="00A633C6" w:rsidP="00D45256">
      <w:pPr>
        <w:pStyle w:val="Heading1"/>
      </w:pPr>
      <w:bookmarkStart w:id="5" w:name="_Toc42488071"/>
      <w:r w:rsidRPr="001A2BC4">
        <w:t>2</w:t>
      </w:r>
      <w:r w:rsidR="00E93182">
        <w:tab/>
      </w:r>
      <w:r w:rsidR="0047783A" w:rsidRPr="001A2BC4">
        <w:t>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10"/>
        <w:gridCol w:w="2551"/>
      </w:tblGrid>
      <w:tr w:rsidR="0047783A" w:rsidRPr="00E82463" w14:paraId="043F8042" w14:textId="77777777" w:rsidTr="00D45256">
        <w:tc>
          <w:tcPr>
            <w:tcW w:w="3686"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rsidP="00D45256">
            <w:pPr>
              <w:keepNext/>
              <w:jc w:val="center"/>
              <w:rPr>
                <w:rFonts w:ascii="Times New Roman" w:hAnsi="Times New Roman"/>
                <w:b/>
                <w:sz w:val="18"/>
              </w:rPr>
            </w:pPr>
            <w:r w:rsidRPr="00E82463">
              <w:rPr>
                <w:rFonts w:ascii="Times New Roman" w:hAnsi="Times New Roman"/>
                <w:b/>
                <w:sz w:val="18"/>
              </w:rPr>
              <w:t>DATE</w:t>
            </w:r>
          </w:p>
        </w:tc>
        <w:tc>
          <w:tcPr>
            <w:tcW w:w="2551" w:type="dxa"/>
            <w:tcBorders>
              <w:bottom w:val="nil"/>
            </w:tcBorders>
            <w:shd w:val="pct10" w:color="auto" w:fill="FFFFFF"/>
          </w:tcPr>
          <w:p w14:paraId="09790EF5" w14:textId="33925B31" w:rsidR="0047783A" w:rsidRPr="00E82463" w:rsidRDefault="0047783A" w:rsidP="00D45256">
            <w:pPr>
              <w:jc w:val="center"/>
              <w:rPr>
                <w:rFonts w:ascii="Times New Roman" w:hAnsi="Times New Roman"/>
                <w:b/>
                <w:sz w:val="18"/>
              </w:rPr>
            </w:pPr>
            <w:r w:rsidRPr="00E82463">
              <w:rPr>
                <w:rFonts w:ascii="Times New Roman" w:hAnsi="Times New Roman"/>
                <w:b/>
                <w:sz w:val="18"/>
              </w:rPr>
              <w:t>TIME</w:t>
            </w:r>
            <w:r w:rsidR="00663BBD">
              <w:rPr>
                <w:rFonts w:ascii="Times New Roman" w:hAnsi="Times New Roman"/>
                <w:b/>
                <w:sz w:val="18"/>
              </w:rPr>
              <w:t>**</w:t>
            </w:r>
          </w:p>
        </w:tc>
      </w:tr>
      <w:tr w:rsidR="00403B25" w:rsidRPr="00E82463" w14:paraId="65DB2A02" w14:textId="77777777" w:rsidTr="00D45256">
        <w:tc>
          <w:tcPr>
            <w:tcW w:w="3686" w:type="dxa"/>
            <w:shd w:val="pct10" w:color="auto" w:fill="FFFFFF"/>
          </w:tcPr>
          <w:p w14:paraId="132820BF" w14:textId="7C73830B" w:rsidR="00403B25" w:rsidRPr="00E82463" w:rsidRDefault="004531C7" w:rsidP="00D45256">
            <w:pPr>
              <w:spacing w:before="60" w:after="60"/>
              <w:jc w:val="both"/>
              <w:rPr>
                <w:rFonts w:ascii="Times New Roman" w:hAnsi="Times New Roman"/>
                <w:b/>
                <w:sz w:val="22"/>
              </w:rPr>
            </w:pPr>
            <w:r>
              <w:rPr>
                <w:rFonts w:ascii="Times New Roman" w:hAnsi="Times New Roman"/>
                <w:b/>
                <w:sz w:val="22"/>
              </w:rPr>
              <w:t>Information</w:t>
            </w:r>
            <w:r w:rsidRPr="00E82463">
              <w:rPr>
                <w:rFonts w:ascii="Times New Roman" w:hAnsi="Times New Roman"/>
                <w:b/>
                <w:sz w:val="22"/>
              </w:rPr>
              <w:t xml:space="preserve"> </w:t>
            </w:r>
            <w:r w:rsidR="00403B25" w:rsidRPr="00E82463">
              <w:rPr>
                <w:rFonts w:ascii="Times New Roman" w:hAnsi="Times New Roman"/>
                <w:b/>
                <w:sz w:val="22"/>
              </w:rPr>
              <w:t>meeting / site visit (if any)</w:t>
            </w:r>
          </w:p>
        </w:tc>
        <w:tc>
          <w:tcPr>
            <w:tcW w:w="2410" w:type="dxa"/>
          </w:tcPr>
          <w:p w14:paraId="057CFEC8" w14:textId="35A1D252" w:rsidR="00403B25" w:rsidRPr="002E0A62" w:rsidRDefault="00403B25" w:rsidP="002E0A62">
            <w:pPr>
              <w:spacing w:before="60" w:after="60"/>
              <w:jc w:val="center"/>
              <w:rPr>
                <w:rFonts w:ascii="Times New Roman" w:hAnsi="Times New Roman"/>
                <w:sz w:val="22"/>
              </w:rPr>
            </w:pPr>
            <w:r w:rsidRPr="002E0A62">
              <w:rPr>
                <w:rFonts w:ascii="Times New Roman" w:hAnsi="Times New Roman"/>
                <w:sz w:val="22"/>
              </w:rPr>
              <w:t>Not applicable</w:t>
            </w:r>
          </w:p>
        </w:tc>
        <w:tc>
          <w:tcPr>
            <w:tcW w:w="2551" w:type="dxa"/>
          </w:tcPr>
          <w:p w14:paraId="2746E565" w14:textId="1CED5C85" w:rsidR="00403B25" w:rsidRPr="002E0A62" w:rsidRDefault="002E0A62" w:rsidP="002E0A62">
            <w:pPr>
              <w:spacing w:before="60" w:after="60"/>
              <w:jc w:val="center"/>
              <w:rPr>
                <w:rFonts w:ascii="Times New Roman" w:hAnsi="Times New Roman"/>
                <w:sz w:val="22"/>
              </w:rPr>
            </w:pPr>
            <w:r w:rsidRPr="002E0A62">
              <w:rPr>
                <w:rFonts w:ascii="Times New Roman" w:hAnsi="Times New Roman"/>
                <w:sz w:val="22"/>
                <w:szCs w:val="22"/>
              </w:rPr>
              <w:t>Not applicable</w:t>
            </w:r>
          </w:p>
        </w:tc>
      </w:tr>
      <w:tr w:rsidR="00403B25" w:rsidRPr="00E82463" w14:paraId="750EA862" w14:textId="77777777" w:rsidTr="00D45256">
        <w:tc>
          <w:tcPr>
            <w:tcW w:w="3686" w:type="dxa"/>
            <w:shd w:val="pct10" w:color="auto" w:fill="FFFFFF"/>
          </w:tcPr>
          <w:p w14:paraId="23E77229" w14:textId="77777777" w:rsidR="00403B25" w:rsidRPr="00B35051" w:rsidRDefault="00403B25" w:rsidP="00D45256">
            <w:pPr>
              <w:keepNext/>
              <w:spacing w:before="60" w:after="60"/>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2A349D98" w:rsidR="00403B25" w:rsidRPr="002E0A62" w:rsidRDefault="002E0A62" w:rsidP="002E0A62">
            <w:pPr>
              <w:spacing w:before="60" w:after="60"/>
              <w:jc w:val="center"/>
              <w:rPr>
                <w:rFonts w:ascii="Times New Roman" w:hAnsi="Times New Roman"/>
                <w:sz w:val="22"/>
                <w:szCs w:val="22"/>
              </w:rPr>
            </w:pPr>
            <w:r w:rsidRPr="002E0A62">
              <w:rPr>
                <w:rFonts w:ascii="Times New Roman" w:hAnsi="Times New Roman"/>
                <w:sz w:val="22"/>
                <w:szCs w:val="22"/>
              </w:rPr>
              <w:t>19 August 2025</w:t>
            </w:r>
          </w:p>
        </w:tc>
        <w:tc>
          <w:tcPr>
            <w:tcW w:w="2551" w:type="dxa"/>
          </w:tcPr>
          <w:p w14:paraId="5B1CA5BA" w14:textId="44D85A8B" w:rsidR="00403B25" w:rsidRPr="002E0A62" w:rsidRDefault="002E0A62" w:rsidP="002E0A62">
            <w:pPr>
              <w:spacing w:before="60" w:after="60"/>
              <w:jc w:val="center"/>
              <w:rPr>
                <w:rFonts w:ascii="Times New Roman" w:hAnsi="Times New Roman"/>
                <w:sz w:val="22"/>
              </w:rPr>
            </w:pPr>
            <w:r w:rsidRPr="002E0A62">
              <w:rPr>
                <w:rFonts w:ascii="Times New Roman" w:hAnsi="Times New Roman"/>
                <w:sz w:val="22"/>
              </w:rPr>
              <w:t>17:00 hrs.</w:t>
            </w:r>
          </w:p>
        </w:tc>
      </w:tr>
      <w:tr w:rsidR="00403B25" w:rsidRPr="00E82463" w14:paraId="3722E57B" w14:textId="77777777" w:rsidTr="00D45256">
        <w:tc>
          <w:tcPr>
            <w:tcW w:w="3686" w:type="dxa"/>
            <w:shd w:val="pct10" w:color="auto" w:fill="FFFFFF"/>
          </w:tcPr>
          <w:p w14:paraId="4E5EBEC6" w14:textId="77777777" w:rsidR="00403B25" w:rsidRPr="00E82463" w:rsidRDefault="00403B25" w:rsidP="00D45256">
            <w:pPr>
              <w:spacing w:before="60" w:after="60"/>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01894EB" w:rsidR="00403B25" w:rsidRPr="002E0A62" w:rsidRDefault="002E0A62" w:rsidP="002E0A62">
            <w:pPr>
              <w:spacing w:before="60" w:after="60"/>
              <w:jc w:val="center"/>
              <w:rPr>
                <w:rFonts w:ascii="Times New Roman" w:hAnsi="Times New Roman"/>
                <w:sz w:val="22"/>
                <w:szCs w:val="22"/>
              </w:rPr>
            </w:pPr>
            <w:r w:rsidRPr="002E0A62">
              <w:rPr>
                <w:rFonts w:ascii="Times New Roman" w:hAnsi="Times New Roman"/>
                <w:sz w:val="22"/>
                <w:szCs w:val="22"/>
              </w:rPr>
              <w:t>01 September 2025</w:t>
            </w:r>
          </w:p>
        </w:tc>
        <w:tc>
          <w:tcPr>
            <w:tcW w:w="2551" w:type="dxa"/>
          </w:tcPr>
          <w:p w14:paraId="042C6B74" w14:textId="77777777" w:rsidR="00403B25" w:rsidRPr="002E0A62" w:rsidRDefault="00403B25" w:rsidP="002E0A62">
            <w:pPr>
              <w:spacing w:before="60" w:after="60"/>
              <w:jc w:val="center"/>
              <w:rPr>
                <w:rFonts w:ascii="Times New Roman" w:hAnsi="Times New Roman"/>
                <w:sz w:val="22"/>
              </w:rPr>
            </w:pPr>
            <w:r w:rsidRPr="002E0A62">
              <w:rPr>
                <w:rFonts w:ascii="Times New Roman" w:hAnsi="Times New Roman"/>
                <w:sz w:val="22"/>
              </w:rPr>
              <w:t>-</w:t>
            </w:r>
          </w:p>
        </w:tc>
      </w:tr>
      <w:tr w:rsidR="007B10D9" w:rsidRPr="00E82463" w14:paraId="2C1FA528" w14:textId="77777777" w:rsidTr="00D45256">
        <w:tc>
          <w:tcPr>
            <w:tcW w:w="3686" w:type="dxa"/>
            <w:shd w:val="pct10" w:color="auto" w:fill="FFFFFF"/>
          </w:tcPr>
          <w:p w14:paraId="50CA7D32" w14:textId="77777777"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0047AB73" w:rsidR="007B10D9" w:rsidRPr="002E0A62" w:rsidRDefault="002E0A62" w:rsidP="002E0A62">
            <w:pPr>
              <w:spacing w:before="60" w:after="60"/>
              <w:jc w:val="center"/>
              <w:rPr>
                <w:rFonts w:ascii="Times New Roman" w:hAnsi="Times New Roman"/>
                <w:b/>
                <w:bCs/>
                <w:sz w:val="22"/>
                <w:u w:val="single"/>
              </w:rPr>
            </w:pPr>
            <w:r w:rsidRPr="002E0A62">
              <w:rPr>
                <w:rFonts w:ascii="Times New Roman" w:hAnsi="Times New Roman"/>
                <w:b/>
                <w:bCs/>
                <w:sz w:val="22"/>
                <w:u w:val="single"/>
              </w:rPr>
              <w:t>09 September 2025</w:t>
            </w:r>
          </w:p>
        </w:tc>
        <w:tc>
          <w:tcPr>
            <w:tcW w:w="2551" w:type="dxa"/>
          </w:tcPr>
          <w:p w14:paraId="24FA29BB" w14:textId="1357A2DC" w:rsidR="007B10D9" w:rsidRPr="002E0A62" w:rsidRDefault="002E0A62" w:rsidP="002E0A62">
            <w:pPr>
              <w:spacing w:before="60" w:after="60"/>
              <w:jc w:val="center"/>
              <w:rPr>
                <w:rFonts w:ascii="Times New Roman" w:hAnsi="Times New Roman"/>
                <w:b/>
                <w:bCs/>
                <w:sz w:val="22"/>
                <w:u w:val="single"/>
              </w:rPr>
            </w:pPr>
            <w:r w:rsidRPr="002E0A62">
              <w:rPr>
                <w:rFonts w:ascii="Times New Roman" w:hAnsi="Times New Roman"/>
                <w:b/>
                <w:bCs/>
                <w:sz w:val="22"/>
                <w:u w:val="single"/>
              </w:rPr>
              <w:t>15:00 hrs.</w:t>
            </w:r>
          </w:p>
        </w:tc>
      </w:tr>
      <w:tr w:rsidR="002E0A62" w:rsidRPr="00E82463" w14:paraId="0190C6E2" w14:textId="77777777" w:rsidTr="00D45256">
        <w:tc>
          <w:tcPr>
            <w:tcW w:w="3686" w:type="dxa"/>
            <w:shd w:val="pct10" w:color="auto" w:fill="FFFFFF"/>
          </w:tcPr>
          <w:p w14:paraId="550FBF2E" w14:textId="77777777" w:rsidR="002E0A62" w:rsidRPr="00E82463" w:rsidRDefault="002E0A62" w:rsidP="002E0A62">
            <w:pPr>
              <w:spacing w:before="60" w:after="60"/>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461CEB53" w:rsidR="002E0A62" w:rsidRPr="002E0A62" w:rsidRDefault="002E0A62" w:rsidP="002E0A62">
            <w:pPr>
              <w:spacing w:before="60" w:after="60"/>
              <w:jc w:val="center"/>
              <w:rPr>
                <w:rFonts w:ascii="Times New Roman" w:hAnsi="Times New Roman"/>
                <w:sz w:val="22"/>
              </w:rPr>
            </w:pPr>
            <w:r w:rsidRPr="002E0A62">
              <w:rPr>
                <w:rFonts w:ascii="Times New Roman" w:hAnsi="Times New Roman"/>
                <w:sz w:val="22"/>
              </w:rPr>
              <w:t>09 September 2025</w:t>
            </w:r>
          </w:p>
        </w:tc>
        <w:tc>
          <w:tcPr>
            <w:tcW w:w="2551" w:type="dxa"/>
          </w:tcPr>
          <w:p w14:paraId="4A5D8A55" w14:textId="673FB655" w:rsidR="002E0A62" w:rsidRPr="002E0A62" w:rsidRDefault="002E0A62" w:rsidP="002E0A62">
            <w:pPr>
              <w:spacing w:before="60" w:after="60"/>
              <w:jc w:val="center"/>
              <w:rPr>
                <w:rFonts w:ascii="Times New Roman" w:hAnsi="Times New Roman"/>
                <w:sz w:val="22"/>
              </w:rPr>
            </w:pPr>
            <w:r w:rsidRPr="002E0A62">
              <w:rPr>
                <w:rFonts w:ascii="Times New Roman" w:hAnsi="Times New Roman"/>
                <w:sz w:val="22"/>
              </w:rPr>
              <w:t>15:</w:t>
            </w:r>
            <w:r>
              <w:rPr>
                <w:rFonts w:ascii="Times New Roman" w:hAnsi="Times New Roman"/>
                <w:sz w:val="22"/>
              </w:rPr>
              <w:t>3</w:t>
            </w:r>
            <w:r w:rsidRPr="002E0A62">
              <w:rPr>
                <w:rFonts w:ascii="Times New Roman" w:hAnsi="Times New Roman"/>
                <w:sz w:val="22"/>
              </w:rPr>
              <w:t>0 hrs.</w:t>
            </w:r>
          </w:p>
        </w:tc>
      </w:tr>
      <w:tr w:rsidR="007B10D9" w:rsidRPr="00E82463" w14:paraId="3B4561D8" w14:textId="77777777" w:rsidTr="00D45256">
        <w:tc>
          <w:tcPr>
            <w:tcW w:w="3686" w:type="dxa"/>
            <w:shd w:val="pct10" w:color="auto" w:fill="FFFFFF"/>
          </w:tcPr>
          <w:p w14:paraId="2A2A8413"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6409914C" w:rsidR="007B10D9" w:rsidRPr="002E0A62" w:rsidRDefault="002E0A62" w:rsidP="002E0A62">
            <w:pPr>
              <w:tabs>
                <w:tab w:val="left" w:pos="851"/>
              </w:tabs>
              <w:spacing w:before="60" w:after="60"/>
              <w:jc w:val="center"/>
              <w:rPr>
                <w:rFonts w:ascii="Times New Roman" w:hAnsi="Times New Roman"/>
                <w:sz w:val="22"/>
              </w:rPr>
            </w:pPr>
            <w:r>
              <w:rPr>
                <w:rFonts w:ascii="Times New Roman" w:hAnsi="Times New Roman"/>
                <w:sz w:val="22"/>
              </w:rPr>
              <w:t>October/November 2025</w:t>
            </w:r>
            <w:r w:rsidR="007B10D9" w:rsidRPr="002E0A62">
              <w:rPr>
                <w:rFonts w:ascii="Times New Roman" w:hAnsi="Times New Roman"/>
                <w:sz w:val="22"/>
                <w:vertAlign w:val="superscript"/>
              </w:rPr>
              <w:t>*</w:t>
            </w:r>
          </w:p>
        </w:tc>
        <w:tc>
          <w:tcPr>
            <w:tcW w:w="2551" w:type="dxa"/>
          </w:tcPr>
          <w:p w14:paraId="3D4FD905" w14:textId="77777777" w:rsidR="007B10D9" w:rsidRPr="002E0A62" w:rsidRDefault="007B10D9" w:rsidP="002E0A62">
            <w:pPr>
              <w:tabs>
                <w:tab w:val="left" w:pos="851"/>
              </w:tabs>
              <w:spacing w:before="60" w:after="60"/>
              <w:jc w:val="center"/>
              <w:rPr>
                <w:rFonts w:ascii="Times New Roman" w:hAnsi="Times New Roman"/>
                <w:sz w:val="22"/>
              </w:rPr>
            </w:pPr>
            <w:r w:rsidRPr="002E0A62">
              <w:rPr>
                <w:rFonts w:ascii="Times New Roman" w:hAnsi="Times New Roman"/>
                <w:sz w:val="22"/>
              </w:rPr>
              <w:t>-</w:t>
            </w:r>
          </w:p>
        </w:tc>
      </w:tr>
      <w:tr w:rsidR="007B10D9" w:rsidRPr="00E82463" w14:paraId="6F1F217F" w14:textId="77777777" w:rsidTr="00D45256">
        <w:tc>
          <w:tcPr>
            <w:tcW w:w="3686" w:type="dxa"/>
            <w:shd w:val="pct10" w:color="auto" w:fill="FFFFFF"/>
          </w:tcPr>
          <w:p w14:paraId="6FC76AD1"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56949120" w:rsidR="007B10D9" w:rsidRPr="002E0A62" w:rsidRDefault="002E0A62" w:rsidP="002E0A62">
            <w:pPr>
              <w:tabs>
                <w:tab w:val="left" w:pos="851"/>
              </w:tabs>
              <w:spacing w:before="60" w:after="60"/>
              <w:jc w:val="center"/>
              <w:rPr>
                <w:rFonts w:ascii="Times New Roman" w:hAnsi="Times New Roman"/>
                <w:sz w:val="22"/>
              </w:rPr>
            </w:pPr>
            <w:r>
              <w:rPr>
                <w:rFonts w:ascii="Times New Roman" w:hAnsi="Times New Roman"/>
                <w:sz w:val="22"/>
              </w:rPr>
              <w:t>October/November 2025</w:t>
            </w:r>
            <w:r w:rsidR="007B10D9" w:rsidRPr="002E0A62">
              <w:rPr>
                <w:rFonts w:ascii="Times New Roman" w:hAnsi="Times New Roman"/>
                <w:sz w:val="22"/>
                <w:vertAlign w:val="superscript"/>
              </w:rPr>
              <w:t>*</w:t>
            </w:r>
          </w:p>
        </w:tc>
        <w:tc>
          <w:tcPr>
            <w:tcW w:w="2551" w:type="dxa"/>
          </w:tcPr>
          <w:p w14:paraId="1D7A125C" w14:textId="77777777" w:rsidR="007B10D9" w:rsidRPr="002E0A62" w:rsidRDefault="007B10D9" w:rsidP="002E0A62">
            <w:pPr>
              <w:tabs>
                <w:tab w:val="left" w:pos="851"/>
              </w:tabs>
              <w:spacing w:before="60" w:after="60"/>
              <w:jc w:val="center"/>
              <w:rPr>
                <w:rFonts w:ascii="Times New Roman" w:hAnsi="Times New Roman"/>
                <w:sz w:val="22"/>
              </w:rPr>
            </w:pPr>
            <w:r w:rsidRPr="002E0A62">
              <w:rPr>
                <w:rFonts w:ascii="Times New Roman" w:hAnsi="Times New Roman"/>
                <w:sz w:val="22"/>
              </w:rPr>
              <w:t>-</w:t>
            </w:r>
          </w:p>
        </w:tc>
      </w:tr>
    </w:tbl>
    <w:p w14:paraId="1854E952" w14:textId="33FF115E" w:rsidR="0047783A" w:rsidRDefault="00F679ED" w:rsidP="00D45256">
      <w:pPr>
        <w:tabs>
          <w:tab w:val="left" w:pos="851"/>
        </w:tabs>
        <w:spacing w:after="0"/>
        <w:jc w:val="both"/>
        <w:rPr>
          <w:rFonts w:ascii="Times New Roman" w:hAnsi="Times New Roman"/>
          <w:b/>
        </w:rPr>
      </w:pPr>
      <w:bookmarkStart w:id="6" w:name="_Ref500317541"/>
      <w:r>
        <w:rPr>
          <w:rFonts w:ascii="Times New Roman" w:hAnsi="Times New Roman"/>
          <w:b/>
        </w:rPr>
        <w:t>* Provisional date</w:t>
      </w:r>
    </w:p>
    <w:p w14:paraId="36308DA0" w14:textId="3E0BB49B" w:rsidR="00EC2910" w:rsidRDefault="00663BBD">
      <w:pPr>
        <w:tabs>
          <w:tab w:val="left" w:pos="851"/>
        </w:tabs>
        <w:jc w:val="both"/>
        <w:rPr>
          <w:rFonts w:ascii="Times New Roman" w:hAnsi="Times New Roman"/>
          <w:b/>
        </w:rPr>
      </w:pPr>
      <w:r>
        <w:rPr>
          <w:rFonts w:ascii="Times New Roman" w:hAnsi="Times New Roman"/>
          <w:b/>
        </w:rPr>
        <w:t>**</w:t>
      </w:r>
      <w:r w:rsidR="00EC2910" w:rsidRPr="00EC2910">
        <w:rPr>
          <w:rFonts w:ascii="Times New Roman" w:hAnsi="Times New Roman"/>
          <w:b/>
        </w:rPr>
        <w:t>The time zone of the country of the contracting authority.</w:t>
      </w:r>
    </w:p>
    <w:p w14:paraId="121DD461" w14:textId="18A0A9D5" w:rsidR="0047783A" w:rsidRPr="00D45256" w:rsidRDefault="00A633C6" w:rsidP="00D45256">
      <w:pPr>
        <w:pStyle w:val="Heading1"/>
        <w:rPr>
          <w:lang w:val="en-IE"/>
        </w:rPr>
      </w:pPr>
      <w:bookmarkStart w:id="7" w:name="_Toc42488072"/>
      <w:bookmarkEnd w:id="6"/>
      <w:r w:rsidRPr="00D45256">
        <w:rPr>
          <w:lang w:val="en-IE"/>
        </w:rPr>
        <w:t>3.</w:t>
      </w:r>
      <w:r w:rsidR="00E93182" w:rsidRPr="00D45256">
        <w:rPr>
          <w:lang w:val="en-IE"/>
        </w:rPr>
        <w:tab/>
      </w:r>
      <w:r w:rsidR="0047783A" w:rsidRPr="00D45256">
        <w:rPr>
          <w:lang w:val="en-IE"/>
        </w:rPr>
        <w:t>Participation</w:t>
      </w:r>
      <w:bookmarkEnd w:id="7"/>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562B2E3"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761E70">
        <w:rPr>
          <w:rFonts w:ascii="Times New Roman" w:hAnsi="Times New Roman"/>
          <w:sz w:val="22"/>
          <w:lang w:val="en-GB"/>
        </w:rPr>
        <w:t>1</w:t>
      </w:r>
      <w:r w:rsidR="00B4454C">
        <w:rPr>
          <w:rFonts w:ascii="Times New Roman" w:hAnsi="Times New Roman"/>
          <w:sz w:val="22"/>
          <w:lang w:val="en-GB"/>
        </w:rPr>
        <w:t xml:space="preserve"> (EU restrictive measures</w:t>
      </w:r>
      <w:r w:rsidR="006D653B">
        <w:rPr>
          <w:rStyle w:val="FootnoteReference"/>
          <w:rFonts w:ascii="Times New Roman" w:hAnsi="Times New Roman"/>
          <w:sz w:val="22"/>
          <w:lang w:val="en-GB"/>
        </w:rPr>
        <w:footnoteReference w:id="2"/>
      </w:r>
      <w:r w:rsidR="00B4454C">
        <w:rPr>
          <w:rFonts w:ascii="Times New Roman" w:hAnsi="Times New Roman"/>
          <w:sz w:val="22"/>
          <w:lang w:val="en-GB"/>
        </w:rPr>
        <w:t xml:space="preserve">), </w:t>
      </w:r>
      <w:r w:rsidR="00364FFD">
        <w:rPr>
          <w:rFonts w:ascii="Times New Roman" w:hAnsi="Times New Roman"/>
          <w:sz w:val="22"/>
          <w:lang w:val="en-GB"/>
        </w:rPr>
        <w:t>2.</w:t>
      </w:r>
      <w:r w:rsidR="002A43CB">
        <w:rPr>
          <w:rFonts w:ascii="Times New Roman" w:hAnsi="Times New Roman"/>
          <w:sz w:val="22"/>
          <w:lang w:val="en-GB"/>
        </w:rPr>
        <w:t>4.2.1</w:t>
      </w:r>
      <w:r w:rsidR="00364FFD">
        <w:rPr>
          <w:rFonts w:ascii="Times New Roman" w:hAnsi="Times New Roman"/>
          <w:sz w:val="22"/>
          <w:lang w:val="en-GB"/>
        </w:rPr>
        <w:t xml:space="preserve">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w:t>
      </w:r>
      <w:r w:rsidR="002A43CB">
        <w:rPr>
          <w:rFonts w:ascii="Times New Roman" w:hAnsi="Times New Roman"/>
          <w:sz w:val="22"/>
          <w:lang w:val="en-GB"/>
        </w:rPr>
        <w:t>4.2.2</w:t>
      </w:r>
      <w:r w:rsidR="000947DF" w:rsidRPr="000947DF">
        <w:rPr>
          <w:rFonts w:ascii="Times New Roman" w:hAnsi="Times New Roman"/>
          <w:sz w:val="22"/>
          <w:lang w:val="en-GB"/>
        </w:rPr>
        <w:t>(rejection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w:t>
      </w:r>
      <w:r w:rsidR="002A43CB">
        <w:rPr>
          <w:rFonts w:ascii="Times New Roman" w:hAnsi="Times New Roman"/>
          <w:sz w:val="22"/>
          <w:szCs w:val="22"/>
          <w:lang w:val="en-GB"/>
        </w:rPr>
        <w:t xml:space="preserve">4.2.1 </w:t>
      </w:r>
      <w:r w:rsidR="003F6D98" w:rsidRPr="003F6D98">
        <w:rPr>
          <w:rFonts w:ascii="Times New Roman" w:hAnsi="Times New Roman"/>
          <w:sz w:val="22"/>
          <w:szCs w:val="22"/>
          <w:lang w:val="en-GB"/>
        </w:rPr>
        <w:t xml:space="preserve">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w:t>
      </w:r>
      <w:r w:rsidR="002A43CB">
        <w:rPr>
          <w:rFonts w:ascii="Times New Roman" w:hAnsi="Times New Roman"/>
          <w:sz w:val="22"/>
          <w:szCs w:val="22"/>
          <w:lang w:val="en-GB"/>
        </w:rPr>
        <w:t>/or</w:t>
      </w:r>
      <w:r w:rsidR="003F6D98" w:rsidRPr="003F6D98">
        <w:rPr>
          <w:rFonts w:ascii="Times New Roman" w:hAnsi="Times New Roman"/>
          <w:sz w:val="22"/>
          <w:szCs w:val="22"/>
          <w:lang w:val="en-GB"/>
        </w:rPr>
        <w:t xml:space="preserve">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3"/>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t>
      </w:r>
      <w:r w:rsidRPr="00E82463">
        <w:rPr>
          <w:rFonts w:ascii="Times New Roman" w:hAnsi="Times New Roman"/>
          <w:sz w:val="22"/>
          <w:lang w:val="en-GB"/>
        </w:rPr>
        <w:lastRenderedPageBreak/>
        <w:t xml:space="preserve">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D4525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360F1A5F" w14:textId="61ADFB8A" w:rsidR="0047783A" w:rsidRPr="00D45256" w:rsidRDefault="00A633C6" w:rsidP="00D45256">
      <w:pPr>
        <w:pStyle w:val="Heading1"/>
        <w:rPr>
          <w:lang w:val="en-IE"/>
        </w:rPr>
      </w:pPr>
      <w:bookmarkStart w:id="8" w:name="_Toc42488073"/>
      <w:r w:rsidRPr="00D45256">
        <w:rPr>
          <w:lang w:val="en-IE"/>
        </w:rPr>
        <w:t>4</w:t>
      </w:r>
      <w:r w:rsidR="00E93182" w:rsidRPr="00D45256">
        <w:rPr>
          <w:lang w:val="en-IE"/>
        </w:rPr>
        <w:tab/>
      </w:r>
      <w:r w:rsidR="0047783A" w:rsidRPr="00D45256">
        <w:rPr>
          <w:lang w:val="en-IE"/>
        </w:rPr>
        <w:t>Origin</w:t>
      </w:r>
      <w:bookmarkEnd w:id="8"/>
    </w:p>
    <w:p w14:paraId="4BD49E0C" w14:textId="744C192C" w:rsidR="00505988" w:rsidRPr="00505988" w:rsidRDefault="000A5F76" w:rsidP="00505988">
      <w:pPr>
        <w:pStyle w:val="Heading2"/>
        <w:keepNext w:val="0"/>
        <w:jc w:val="both"/>
        <w:rPr>
          <w:rFonts w:ascii="Times New Roman" w:hAnsi="Times New Roman"/>
          <w:sz w:val="22"/>
          <w:szCs w:val="22"/>
          <w:lang w:val="en-GB"/>
        </w:rPr>
      </w:pPr>
      <w:r w:rsidRPr="00505988">
        <w:rPr>
          <w:rFonts w:ascii="Times New Roman" w:hAnsi="Times New Roman"/>
          <w:sz w:val="22"/>
          <w:lang w:val="en-GB"/>
        </w:rPr>
        <w:t xml:space="preserve">4.1 </w:t>
      </w:r>
      <w:r w:rsidR="00505988" w:rsidRPr="00505988">
        <w:rPr>
          <w:rFonts w:ascii="Times New Roman" w:hAnsi="Times New Roman"/>
          <w:sz w:val="22"/>
          <w:lang w:val="en-GB"/>
        </w:rPr>
        <w:t xml:space="preserve">    </w:t>
      </w:r>
      <w:r w:rsidR="00505988" w:rsidRPr="00505988">
        <w:rPr>
          <w:rFonts w:ascii="Times New Roman" w:hAnsi="Times New Roman"/>
          <w:sz w:val="22"/>
          <w:szCs w:val="22"/>
          <w:lang w:val="en-GB"/>
        </w:rPr>
        <w:t>No rule of origin is applied.</w:t>
      </w:r>
    </w:p>
    <w:p w14:paraId="60C6066D" w14:textId="70D8D1FF" w:rsidR="0047783A" w:rsidRPr="00D45256" w:rsidRDefault="00A633C6" w:rsidP="00D45256">
      <w:pPr>
        <w:pStyle w:val="Heading1"/>
        <w:rPr>
          <w:lang w:val="en-IE"/>
        </w:rPr>
      </w:pPr>
      <w:bookmarkStart w:id="9" w:name="_Toc42488074"/>
      <w:r w:rsidRPr="00D45256">
        <w:rPr>
          <w:lang w:val="en-IE"/>
        </w:rPr>
        <w:t>5.</w:t>
      </w:r>
      <w:r w:rsidR="00E93182" w:rsidRPr="00D45256">
        <w:rPr>
          <w:lang w:val="en-IE"/>
        </w:rPr>
        <w:tab/>
      </w:r>
      <w:r w:rsidR="00BA2D4C" w:rsidRPr="00D45256">
        <w:rPr>
          <w:lang w:val="en-IE"/>
        </w:rPr>
        <w:t>T</w:t>
      </w:r>
      <w:r w:rsidR="0047783A" w:rsidRPr="00D45256">
        <w:rPr>
          <w:lang w:val="en-IE"/>
        </w:rPr>
        <w:t>ype of contract</w:t>
      </w:r>
      <w:bookmarkEnd w:id="9"/>
    </w:p>
    <w:p w14:paraId="0CCF930D" w14:textId="77777777" w:rsidR="00505988" w:rsidRPr="00081B0C" w:rsidRDefault="00505988" w:rsidP="00505988">
      <w:pPr>
        <w:pStyle w:val="Heading2"/>
        <w:jc w:val="both"/>
        <w:rPr>
          <w:rFonts w:ascii="Times New Roman" w:hAnsi="Times New Roman"/>
          <w:b/>
          <w:i/>
          <w:sz w:val="22"/>
          <w:lang w:val="en-GB"/>
        </w:rPr>
      </w:pPr>
      <w:bookmarkStart w:id="10" w:name="_Toc42488075"/>
      <w:r w:rsidRPr="00081B0C">
        <w:rPr>
          <w:rFonts w:ascii="Times New Roman" w:hAnsi="Times New Roman"/>
          <w:sz w:val="22"/>
          <w:lang w:val="en-GB"/>
        </w:rPr>
        <w:t>5.1     Framework contract with unit-price</w:t>
      </w:r>
      <w:r>
        <w:rPr>
          <w:rFonts w:ascii="Times New Roman" w:hAnsi="Times New Roman"/>
          <w:sz w:val="22"/>
          <w:lang w:val="en-GB"/>
        </w:rPr>
        <w:t>.</w:t>
      </w:r>
    </w:p>
    <w:p w14:paraId="12490961" w14:textId="77777777" w:rsidR="00505988" w:rsidRPr="00081B0C" w:rsidRDefault="00505988" w:rsidP="00505988">
      <w:pPr>
        <w:pStyle w:val="Heading2"/>
        <w:ind w:left="567" w:hanging="567"/>
        <w:jc w:val="both"/>
        <w:rPr>
          <w:rFonts w:ascii="Times New Roman" w:hAnsi="Times New Roman"/>
          <w:b/>
          <w:i/>
          <w:sz w:val="22"/>
          <w:lang w:val="en-GB"/>
        </w:rPr>
      </w:pPr>
      <w:r w:rsidRPr="00081B0C">
        <w:rPr>
          <w:rFonts w:ascii="Times New Roman" w:hAnsi="Times New Roman"/>
          <w:sz w:val="22"/>
          <w:lang w:val="en-GB"/>
        </w:rPr>
        <w:t>5.2</w:t>
      </w:r>
      <w:r w:rsidRPr="00081B0C">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  </w:t>
      </w:r>
    </w:p>
    <w:p w14:paraId="16F995CC" w14:textId="77777777" w:rsidR="00505988" w:rsidRPr="00081B0C" w:rsidRDefault="00505988" w:rsidP="00505988">
      <w:pPr>
        <w:pStyle w:val="Heading2"/>
        <w:ind w:left="567" w:hanging="567"/>
        <w:jc w:val="both"/>
        <w:rPr>
          <w:rFonts w:ascii="Times New Roman" w:hAnsi="Times New Roman"/>
          <w:b/>
          <w:i/>
          <w:sz w:val="22"/>
          <w:lang w:val="en-GB"/>
        </w:rPr>
      </w:pPr>
      <w:r w:rsidRPr="00081B0C">
        <w:rPr>
          <w:rFonts w:ascii="Times New Roman" w:hAnsi="Times New Roman"/>
          <w:sz w:val="22"/>
          <w:lang w:val="en-GB"/>
        </w:rPr>
        <w:t>5.3</w:t>
      </w:r>
      <w:r w:rsidRPr="00081B0C">
        <w:rPr>
          <w:rFonts w:ascii="Times New Roman" w:hAnsi="Times New Roman"/>
          <w:sz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14:paraId="7FF4787D" w14:textId="77777777" w:rsidR="00505988" w:rsidRPr="00081B0C" w:rsidRDefault="00505988" w:rsidP="00505988">
      <w:pPr>
        <w:pStyle w:val="Heading2"/>
        <w:ind w:left="567" w:hanging="567"/>
        <w:jc w:val="both"/>
        <w:rPr>
          <w:rFonts w:ascii="Times New Roman" w:hAnsi="Times New Roman"/>
          <w:b/>
          <w:i/>
          <w:sz w:val="22"/>
          <w:lang w:val="en-GB"/>
        </w:rPr>
      </w:pPr>
      <w:r w:rsidRPr="00081B0C">
        <w:rPr>
          <w:rFonts w:ascii="Times New Roman" w:hAnsi="Times New Roman"/>
          <w:sz w:val="22"/>
          <w:lang w:val="en-GB"/>
        </w:rPr>
        <w:t>5.4</w:t>
      </w:r>
      <w:r w:rsidRPr="00081B0C">
        <w:rPr>
          <w:rFonts w:ascii="Times New Roman" w:hAnsi="Times New Roman"/>
          <w:sz w:val="22"/>
          <w:lang w:val="en-GB"/>
        </w:rPr>
        <w:tab/>
        <w:t>Payments and/or pre-financing will only be made by the Contracting Authority on the basis of the actual amount of the Order Form to be issued during the duration of the framework contract. Actually, no pre-financing or payment shall be made on the only basis of the signature of this framework contract.</w:t>
      </w:r>
    </w:p>
    <w:p w14:paraId="60BF5B41" w14:textId="77777777" w:rsidR="00505988" w:rsidRPr="00C503C7" w:rsidRDefault="00505988" w:rsidP="00505988">
      <w:pPr>
        <w:pStyle w:val="Heading2"/>
        <w:ind w:left="567" w:hanging="567"/>
        <w:jc w:val="both"/>
        <w:rPr>
          <w:rFonts w:ascii="Times New Roman" w:hAnsi="Times New Roman"/>
          <w:b/>
          <w:i/>
          <w:sz w:val="22"/>
          <w:lang w:val="en-GB"/>
        </w:rPr>
      </w:pPr>
      <w:r w:rsidRPr="00081B0C">
        <w:rPr>
          <w:rFonts w:ascii="Times New Roman" w:hAnsi="Times New Roman"/>
          <w:sz w:val="22"/>
          <w:lang w:val="en-GB"/>
        </w:rPr>
        <w:t>5.5</w:t>
      </w:r>
      <w:r w:rsidRPr="00081B0C">
        <w:rPr>
          <w:rFonts w:ascii="Times New Roman" w:hAnsi="Times New Roman"/>
          <w:sz w:val="22"/>
          <w:lang w:val="en-GB"/>
        </w:rPr>
        <w:tab/>
        <w:t xml:space="preserve">The framework contract shall be concluded for a period of 12 (twelve) months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w:t>
      </w:r>
      <w:r w:rsidRPr="00081B0C">
        <w:rPr>
          <w:rFonts w:ascii="Times New Roman" w:hAnsi="Times New Roman"/>
          <w:sz w:val="22"/>
          <w:lang w:val="en-GB"/>
        </w:rPr>
        <w:lastRenderedPageBreak/>
        <w:t>existing obligations (although the Framework contract may be terminated at short notice. See article 5 of the Framework Contract).</w:t>
      </w:r>
    </w:p>
    <w:p w14:paraId="752C7A3B" w14:textId="48FD1587" w:rsidR="0047783A" w:rsidRPr="00D45256" w:rsidRDefault="00A633C6" w:rsidP="00D45256">
      <w:pPr>
        <w:pStyle w:val="Heading1"/>
        <w:rPr>
          <w:lang w:val="en-IE"/>
        </w:rPr>
      </w:pPr>
      <w:r w:rsidRPr="00D45256">
        <w:rPr>
          <w:lang w:val="en-IE"/>
        </w:rPr>
        <w:t>6.</w:t>
      </w:r>
      <w:r w:rsidR="00E93182" w:rsidRPr="00D45256">
        <w:rPr>
          <w:lang w:val="en-IE"/>
        </w:rPr>
        <w:tab/>
      </w:r>
      <w:r w:rsidR="0047783A" w:rsidRPr="00D45256">
        <w:rPr>
          <w:lang w:val="en-IE"/>
        </w:rPr>
        <w:t>Currency</w:t>
      </w:r>
      <w:bookmarkEnd w:id="10"/>
    </w:p>
    <w:p w14:paraId="465A230B" w14:textId="6073168E" w:rsidR="0047783A" w:rsidRPr="00E82463" w:rsidRDefault="0047783A" w:rsidP="00D45256">
      <w:pPr>
        <w:pStyle w:val="Heading2"/>
        <w:keepNext w:val="0"/>
        <w:spacing w:before="0"/>
        <w:ind w:left="567"/>
        <w:jc w:val="both"/>
        <w:rPr>
          <w:rFonts w:ascii="Times New Roman" w:hAnsi="Times New Roman"/>
          <w:sz w:val="22"/>
          <w:lang w:val="en-GB"/>
        </w:rPr>
      </w:pPr>
      <w:r w:rsidRPr="00090987">
        <w:rPr>
          <w:rFonts w:ascii="Times New Roman" w:hAnsi="Times New Roman"/>
          <w:sz w:val="22"/>
          <w:szCs w:val="22"/>
          <w:lang w:val="en-GB"/>
        </w:rPr>
        <w:t xml:space="preserve">Tenders </w:t>
      </w:r>
      <w:r w:rsidRPr="00505988">
        <w:rPr>
          <w:rFonts w:ascii="Times New Roman" w:hAnsi="Times New Roman"/>
          <w:sz w:val="22"/>
          <w:szCs w:val="22"/>
          <w:lang w:val="en-GB"/>
        </w:rPr>
        <w:t>must be presented in</w:t>
      </w:r>
      <w:r w:rsidR="00505988" w:rsidRPr="00505988">
        <w:rPr>
          <w:rFonts w:ascii="Times New Roman" w:hAnsi="Times New Roman"/>
          <w:sz w:val="22"/>
          <w:szCs w:val="22"/>
          <w:lang w:val="en-GB"/>
        </w:rPr>
        <w:t xml:space="preserve"> </w:t>
      </w:r>
      <w:r w:rsidR="0066145D" w:rsidRPr="00505988">
        <w:rPr>
          <w:rFonts w:ascii="Times New Roman" w:hAnsi="Times New Roman"/>
          <w:bCs/>
          <w:sz w:val="22"/>
          <w:szCs w:val="22"/>
          <w:lang w:val="en-GB"/>
        </w:rPr>
        <w:t>E</w:t>
      </w:r>
      <w:r w:rsidRPr="00505988">
        <w:rPr>
          <w:rFonts w:ascii="Times New Roman" w:hAnsi="Times New Roman"/>
          <w:bCs/>
          <w:sz w:val="22"/>
          <w:szCs w:val="22"/>
          <w:lang w:val="en-GB"/>
        </w:rPr>
        <w:t>uro</w:t>
      </w:r>
      <w:r w:rsidRPr="00505988">
        <w:rPr>
          <w:rStyle w:val="FootnoteReference"/>
          <w:rFonts w:ascii="Times New Roman" w:hAnsi="Times New Roman"/>
          <w:sz w:val="22"/>
          <w:lang w:val="en-GB"/>
        </w:rPr>
        <w:footnoteReference w:id="4"/>
      </w:r>
      <w:r w:rsidR="005F1EC7" w:rsidRPr="00505988">
        <w:rPr>
          <w:rFonts w:ascii="Times New Roman" w:hAnsi="Times New Roman"/>
          <w:sz w:val="22"/>
          <w:lang w:val="en-GB"/>
        </w:rPr>
        <w:t>.</w:t>
      </w:r>
    </w:p>
    <w:p w14:paraId="67DB3BD4" w14:textId="63943622" w:rsidR="0047783A" w:rsidRPr="006E12B0" w:rsidRDefault="00A633C6" w:rsidP="006E12B0">
      <w:pPr>
        <w:pStyle w:val="Heading1"/>
        <w:rPr>
          <w:lang w:val="en-IE"/>
        </w:rPr>
      </w:pPr>
      <w:bookmarkStart w:id="11" w:name="_Toc42488076"/>
      <w:r w:rsidRPr="00D45256">
        <w:rPr>
          <w:lang w:val="en-IE"/>
        </w:rPr>
        <w:t>7</w:t>
      </w:r>
      <w:r w:rsidR="00E93182" w:rsidRPr="00D45256">
        <w:rPr>
          <w:lang w:val="en-IE"/>
        </w:rPr>
        <w:tab/>
      </w:r>
      <w:r w:rsidR="0047783A" w:rsidRPr="00D45256">
        <w:rPr>
          <w:lang w:val="en-IE"/>
        </w:rPr>
        <w:t>Lots</w:t>
      </w:r>
      <w:bookmarkEnd w:id="11"/>
    </w:p>
    <w:p w14:paraId="08AEEC62" w14:textId="092801A2" w:rsidR="0047783A" w:rsidRPr="00413500" w:rsidRDefault="0047783A" w:rsidP="009D5CB2">
      <w:pPr>
        <w:pStyle w:val="Heading2"/>
        <w:keepNext w:val="0"/>
        <w:ind w:left="567" w:hanging="567"/>
        <w:jc w:val="both"/>
        <w:rPr>
          <w:rFonts w:ascii="Times New Roman" w:hAnsi="Times New Roman"/>
          <w:sz w:val="22"/>
          <w:lang w:val="en-GB"/>
        </w:rPr>
      </w:pPr>
      <w:r w:rsidRPr="00413500">
        <w:rPr>
          <w:rFonts w:ascii="Times New Roman" w:hAnsi="Times New Roman"/>
          <w:sz w:val="22"/>
          <w:lang w:val="en-GB"/>
        </w:rPr>
        <w:t>7.1</w:t>
      </w:r>
      <w:r w:rsidRPr="00413500">
        <w:rPr>
          <w:rFonts w:ascii="Times New Roman" w:hAnsi="Times New Roman"/>
          <w:sz w:val="22"/>
          <w:lang w:val="en-GB"/>
        </w:rPr>
        <w:tab/>
        <w:t>The tenderer may submit a tender for</w:t>
      </w:r>
      <w:r w:rsidR="00413500" w:rsidRPr="00413500">
        <w:rPr>
          <w:rFonts w:ascii="Times New Roman" w:hAnsi="Times New Roman"/>
          <w:sz w:val="22"/>
          <w:lang w:val="en-GB"/>
        </w:rPr>
        <w:t xml:space="preserve"> </w:t>
      </w:r>
      <w:r w:rsidRPr="00413500">
        <w:rPr>
          <w:rFonts w:ascii="Times New Roman" w:hAnsi="Times New Roman"/>
          <w:sz w:val="22"/>
          <w:lang w:val="en-GB"/>
        </w:rPr>
        <w:t>one lot, several or all of the lots.</w:t>
      </w:r>
      <w:r w:rsidR="00703425" w:rsidRPr="00413500">
        <w:rPr>
          <w:rFonts w:ascii="Times New Roman" w:hAnsi="Times New Roman"/>
          <w:sz w:val="22"/>
          <w:lang w:val="en-GB"/>
        </w:rPr>
        <w:t xml:space="preserve"> </w:t>
      </w:r>
    </w:p>
    <w:p w14:paraId="39AF285E" w14:textId="77777777" w:rsidR="0047783A" w:rsidRPr="00413500" w:rsidRDefault="0047783A" w:rsidP="009D5CB2">
      <w:pPr>
        <w:pStyle w:val="Heading2"/>
        <w:keepNext w:val="0"/>
        <w:ind w:left="567" w:hanging="567"/>
        <w:jc w:val="both"/>
        <w:rPr>
          <w:rFonts w:ascii="Times New Roman" w:hAnsi="Times New Roman"/>
          <w:lang w:val="en-GB"/>
        </w:rPr>
      </w:pPr>
      <w:r w:rsidRPr="00413500">
        <w:rPr>
          <w:rFonts w:ascii="Times New Roman" w:hAnsi="Times New Roman"/>
          <w:sz w:val="22"/>
          <w:lang w:val="en-GB"/>
        </w:rPr>
        <w:t>7.2</w:t>
      </w:r>
      <w:r w:rsidRPr="00413500">
        <w:rPr>
          <w:rFonts w:ascii="Times New Roman" w:hAnsi="Times New Roman"/>
          <w:sz w:val="22"/>
          <w:lang w:val="en-GB"/>
        </w:rPr>
        <w:tab/>
        <w:t xml:space="preserve">Each lot will form a separate contract and the quantities indicated for different lots will be indivisible. The tenderer must offer the whole of the quantity or quantities indicated for each lot. Under no circumstances must tenders </w:t>
      </w:r>
      <w:r w:rsidR="00164F15" w:rsidRPr="00413500">
        <w:rPr>
          <w:rFonts w:ascii="Times New Roman" w:hAnsi="Times New Roman"/>
          <w:sz w:val="22"/>
          <w:lang w:val="en-GB"/>
        </w:rPr>
        <w:t xml:space="preserve">be considered </w:t>
      </w:r>
      <w:r w:rsidRPr="00413500">
        <w:rPr>
          <w:rFonts w:ascii="Times New Roman" w:hAnsi="Times New Roman"/>
          <w:sz w:val="22"/>
          <w:lang w:val="en-GB"/>
        </w:rPr>
        <w:t>for part of the quantities required. If the tenderer is awarded more than one lot, a single contract may be concluded covering all those lots.</w:t>
      </w:r>
    </w:p>
    <w:p w14:paraId="0FAC83E8" w14:textId="77777777" w:rsidR="0047783A" w:rsidRPr="00413500" w:rsidRDefault="0047783A" w:rsidP="009D5CB2">
      <w:pPr>
        <w:pStyle w:val="Heading2"/>
        <w:keepNext w:val="0"/>
        <w:ind w:left="567" w:hanging="567"/>
        <w:jc w:val="both"/>
        <w:rPr>
          <w:rFonts w:ascii="Times New Roman" w:hAnsi="Times New Roman"/>
          <w:sz w:val="22"/>
          <w:lang w:val="en-GB"/>
        </w:rPr>
      </w:pPr>
      <w:r w:rsidRPr="00413500">
        <w:rPr>
          <w:rFonts w:ascii="Times New Roman" w:hAnsi="Times New Roman"/>
          <w:sz w:val="22"/>
          <w:lang w:val="en-GB"/>
        </w:rPr>
        <w:t>7.3</w:t>
      </w:r>
      <w:r w:rsidRPr="00413500">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14:paraId="684D0204" w14:textId="5ED35FF1" w:rsidR="0047783A" w:rsidRPr="00E82463" w:rsidRDefault="0047783A" w:rsidP="009D5CB2">
      <w:pPr>
        <w:pStyle w:val="Heading2"/>
        <w:keepNext w:val="0"/>
        <w:ind w:left="567" w:hanging="567"/>
        <w:jc w:val="both"/>
        <w:rPr>
          <w:rFonts w:ascii="Times New Roman" w:hAnsi="Times New Roman"/>
          <w:lang w:val="en-GB"/>
        </w:rPr>
      </w:pPr>
      <w:r w:rsidRPr="00413500">
        <w:rPr>
          <w:rFonts w:ascii="Times New Roman" w:hAnsi="Times New Roman"/>
          <w:sz w:val="22"/>
          <w:szCs w:val="22"/>
          <w:lang w:val="en-GB"/>
        </w:rPr>
        <w:t>7.4</w:t>
      </w:r>
      <w:r w:rsidRPr="00413500">
        <w:rPr>
          <w:rFonts w:ascii="Times New Roman" w:hAnsi="Times New Roman"/>
          <w:sz w:val="22"/>
          <w:szCs w:val="22"/>
          <w:lang w:val="en-GB"/>
        </w:rPr>
        <w:tab/>
        <w:t xml:space="preserve">Contracts will be awarded lot by lot, but the </w:t>
      </w:r>
      <w:r w:rsidR="00715B35" w:rsidRPr="00413500">
        <w:rPr>
          <w:rFonts w:ascii="Times New Roman" w:hAnsi="Times New Roman"/>
          <w:sz w:val="22"/>
          <w:szCs w:val="22"/>
          <w:lang w:val="en-GB"/>
        </w:rPr>
        <w:t>c</w:t>
      </w:r>
      <w:r w:rsidRPr="00413500">
        <w:rPr>
          <w:rFonts w:ascii="Times New Roman" w:hAnsi="Times New Roman"/>
          <w:sz w:val="22"/>
          <w:szCs w:val="22"/>
          <w:lang w:val="en-GB"/>
        </w:rPr>
        <w:t xml:space="preserve">ontracting </w:t>
      </w:r>
      <w:r w:rsidR="00715B35" w:rsidRPr="00413500">
        <w:rPr>
          <w:rFonts w:ascii="Times New Roman" w:hAnsi="Times New Roman"/>
          <w:sz w:val="22"/>
          <w:szCs w:val="22"/>
          <w:lang w:val="en-GB"/>
        </w:rPr>
        <w:t>a</w:t>
      </w:r>
      <w:r w:rsidRPr="00413500">
        <w:rPr>
          <w:rFonts w:ascii="Times New Roman" w:hAnsi="Times New Roman"/>
          <w:sz w:val="22"/>
          <w:szCs w:val="22"/>
          <w:lang w:val="en-GB"/>
        </w:rPr>
        <w:t>uthority may select the most favourable overall solution after taking account of any discounts offered</w:t>
      </w:r>
      <w:r w:rsidRPr="00413500">
        <w:rPr>
          <w:rFonts w:ascii="Times New Roman" w:hAnsi="Times New Roman"/>
          <w:lang w:val="en-GB"/>
        </w:rPr>
        <w:t>.</w:t>
      </w:r>
    </w:p>
    <w:p w14:paraId="6D535022" w14:textId="31EB6A91" w:rsidR="0047783A" w:rsidRPr="00D45256" w:rsidRDefault="00A633C6" w:rsidP="00D45256">
      <w:pPr>
        <w:pStyle w:val="Heading1"/>
        <w:rPr>
          <w:lang w:val="en-IE"/>
        </w:rPr>
      </w:pPr>
      <w:bookmarkStart w:id="12" w:name="_Toc42488077"/>
      <w:r w:rsidRPr="00D45256">
        <w:rPr>
          <w:lang w:val="en-IE"/>
        </w:rPr>
        <w:t>8</w:t>
      </w:r>
      <w:r w:rsidR="00E93182" w:rsidRPr="00D45256">
        <w:rPr>
          <w:lang w:val="en-IE"/>
        </w:rPr>
        <w:tab/>
      </w:r>
      <w:r w:rsidR="0047783A" w:rsidRPr="00D45256">
        <w:rPr>
          <w:lang w:val="en-IE"/>
        </w:rPr>
        <w:t>Period of validity</w:t>
      </w:r>
      <w:bookmarkEnd w:id="12"/>
    </w:p>
    <w:p w14:paraId="30360BC8" w14:textId="4F5D3733"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2F641013"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w:t>
      </w:r>
      <w:r w:rsidR="00201C47">
        <w:rPr>
          <w:rFonts w:ascii="Times New Roman" w:hAnsi="Times New Roman"/>
          <w:sz w:val="22"/>
          <w:lang w:val="en-GB"/>
        </w:rPr>
        <w:t>4.2.1.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2CC962C0" w:rsidR="0047783A" w:rsidRPr="00D45256" w:rsidRDefault="00A633C6" w:rsidP="00D45256">
      <w:pPr>
        <w:pStyle w:val="Heading1"/>
        <w:rPr>
          <w:lang w:val="en-IE"/>
        </w:rPr>
      </w:pPr>
      <w:bookmarkStart w:id="13" w:name="_Toc42488078"/>
      <w:bookmarkStart w:id="14" w:name="_Ref500330462"/>
      <w:r w:rsidRPr="00D45256">
        <w:rPr>
          <w:lang w:val="en-IE"/>
        </w:rPr>
        <w:t>9</w:t>
      </w:r>
      <w:r w:rsidR="00E93182" w:rsidRPr="00D45256">
        <w:rPr>
          <w:lang w:val="en-IE"/>
        </w:rPr>
        <w:tab/>
      </w:r>
      <w:r w:rsidR="0047783A" w:rsidRPr="00D45256">
        <w:rPr>
          <w:lang w:val="en-IE"/>
        </w:rPr>
        <w:t xml:space="preserve">Language of </w:t>
      </w:r>
      <w:bookmarkEnd w:id="13"/>
      <w:r w:rsidR="009A3A53" w:rsidRPr="00D45256">
        <w:rPr>
          <w:lang w:val="en-IE"/>
        </w:rPr>
        <w:t>tenders</w:t>
      </w:r>
    </w:p>
    <w:bookmarkEnd w:id="14"/>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w:t>
      </w:r>
      <w:r w:rsidRPr="00E82463">
        <w:rPr>
          <w:rFonts w:ascii="Times New Roman" w:hAnsi="Times New Roman"/>
          <w:sz w:val="22"/>
          <w:lang w:val="en-GB"/>
        </w:rPr>
        <w:lastRenderedPageBreak/>
        <w:t xml:space="preserve">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4DE1BEB" w:rsidR="0047783A" w:rsidRPr="00D45256" w:rsidRDefault="00A633C6" w:rsidP="00D45256">
      <w:pPr>
        <w:pStyle w:val="Heading1"/>
        <w:rPr>
          <w:lang w:val="en-IE"/>
        </w:rPr>
      </w:pPr>
      <w:bookmarkStart w:id="15" w:name="_Toc42488079"/>
      <w:r w:rsidRPr="00D45256">
        <w:rPr>
          <w:lang w:val="en-IE"/>
        </w:rPr>
        <w:t>10.</w:t>
      </w:r>
      <w:r w:rsidR="005A3D33" w:rsidRPr="00D45256">
        <w:rPr>
          <w:lang w:val="en-IE"/>
        </w:rPr>
        <w:tab/>
      </w:r>
      <w:r w:rsidR="0047783A" w:rsidRPr="00D45256">
        <w:rPr>
          <w:lang w:val="en-IE"/>
        </w:rPr>
        <w:t>Submission of tenders</w:t>
      </w:r>
      <w:bookmarkEnd w:id="15"/>
    </w:p>
    <w:p w14:paraId="6D76BC33" w14:textId="268AB341" w:rsidR="0047783A" w:rsidRDefault="0047783A" w:rsidP="00413500">
      <w:pPr>
        <w:ind w:left="567" w:hanging="567"/>
        <w:rPr>
          <w:rFonts w:ascii="Times New Roman" w:hAnsi="Times New Roman"/>
          <w:sz w:val="22"/>
        </w:rPr>
      </w:pPr>
      <w:bookmarkStart w:id="16" w:name="_Ref500326737"/>
      <w:r w:rsidRPr="00E82463">
        <w:rPr>
          <w:rFonts w:ascii="Times New Roman" w:hAnsi="Times New Roman"/>
          <w:sz w:val="22"/>
        </w:rPr>
        <w:t>10.1</w:t>
      </w:r>
      <w:r w:rsidR="002E4C1B">
        <w:rPr>
          <w:rFonts w:ascii="Times New Roman" w:hAnsi="Times New Roman"/>
          <w:sz w:val="22"/>
        </w:rPr>
        <w:t xml:space="preserve"> </w:t>
      </w:r>
      <w:r w:rsidR="00E93A21">
        <w:rPr>
          <w:rFonts w:ascii="Times New Roman" w:hAnsi="Times New Roman"/>
          <w:sz w:val="22"/>
        </w:rPr>
        <w:tab/>
      </w:r>
      <w:r w:rsidRPr="00413500">
        <w:rPr>
          <w:rFonts w:ascii="Times New Roman" w:hAnsi="Times New Roman"/>
          <w:b/>
          <w:sz w:val="22"/>
        </w:rPr>
        <w:t>T</w:t>
      </w:r>
      <w:r w:rsidR="00803383" w:rsidRPr="00413500">
        <w:rPr>
          <w:rFonts w:ascii="Times New Roman" w:hAnsi="Times New Roman"/>
          <w:b/>
          <w:sz w:val="22"/>
        </w:rPr>
        <w:t>enders must be sent to t</w:t>
      </w:r>
      <w:r w:rsidR="00D62067" w:rsidRPr="00413500">
        <w:rPr>
          <w:rFonts w:ascii="Times New Roman" w:hAnsi="Times New Roman"/>
          <w:b/>
          <w:sz w:val="22"/>
        </w:rPr>
        <w:t xml:space="preserve">he </w:t>
      </w:r>
      <w:r w:rsidR="005C1201" w:rsidRPr="00413500">
        <w:rPr>
          <w:rFonts w:ascii="Times New Roman" w:hAnsi="Times New Roman"/>
          <w:b/>
          <w:sz w:val="22"/>
        </w:rPr>
        <w:t>c</w:t>
      </w:r>
      <w:r w:rsidR="00D62067" w:rsidRPr="00413500">
        <w:rPr>
          <w:rFonts w:ascii="Times New Roman" w:hAnsi="Times New Roman"/>
          <w:b/>
          <w:sz w:val="22"/>
        </w:rPr>
        <w:t xml:space="preserve">ontracting </w:t>
      </w:r>
      <w:r w:rsidR="005C1201" w:rsidRPr="00413500">
        <w:rPr>
          <w:rFonts w:ascii="Times New Roman" w:hAnsi="Times New Roman"/>
          <w:b/>
          <w:sz w:val="22"/>
        </w:rPr>
        <w:t>a</w:t>
      </w:r>
      <w:r w:rsidR="00D62067" w:rsidRPr="00413500">
        <w:rPr>
          <w:rFonts w:ascii="Times New Roman" w:hAnsi="Times New Roman"/>
          <w:b/>
          <w:sz w:val="22"/>
        </w:rPr>
        <w:t xml:space="preserve">uthority </w:t>
      </w:r>
      <w:r w:rsidRPr="00413500">
        <w:rPr>
          <w:rFonts w:ascii="Times New Roman" w:hAnsi="Times New Roman"/>
          <w:b/>
          <w:sz w:val="22"/>
        </w:rPr>
        <w:t xml:space="preserve">before the deadline specified in </w:t>
      </w:r>
      <w:r w:rsidR="00587BC9" w:rsidRPr="00413500">
        <w:rPr>
          <w:rFonts w:ascii="Times New Roman" w:hAnsi="Times New Roman"/>
          <w:b/>
          <w:sz w:val="22"/>
        </w:rPr>
        <w:t>Contract Notice</w:t>
      </w:r>
      <w:r w:rsidRPr="00413500">
        <w:rPr>
          <w:rFonts w:ascii="Times New Roman" w:hAnsi="Times New Roman"/>
          <w:b/>
          <w:sz w:val="22"/>
        </w:rPr>
        <w:t>.</w:t>
      </w:r>
      <w:r w:rsidRPr="00413500">
        <w:rPr>
          <w:rFonts w:ascii="Times New Roman" w:hAnsi="Times New Roman"/>
          <w:sz w:val="22"/>
        </w:rPr>
        <w:t xml:space="preserve"> They must include all the documents specified in point 11 of these Instructions and be sent to the following address:</w:t>
      </w:r>
    </w:p>
    <w:p w14:paraId="64E84526" w14:textId="77777777" w:rsidR="009C383D" w:rsidRPr="00413500" w:rsidRDefault="009C383D" w:rsidP="009C383D">
      <w:pPr>
        <w:rPr>
          <w:rFonts w:ascii="Times New Roman" w:hAnsi="Times New Roman"/>
          <w:sz w:val="22"/>
        </w:rPr>
      </w:pPr>
    </w:p>
    <w:p w14:paraId="73CFE2CD" w14:textId="77777777" w:rsidR="009C383D" w:rsidRPr="00920825" w:rsidRDefault="009C383D" w:rsidP="009C383D">
      <w:pPr>
        <w:pStyle w:val="BodyText"/>
        <w:spacing w:before="0" w:after="0"/>
        <w:ind w:left="360"/>
        <w:jc w:val="center"/>
        <w:rPr>
          <w:rFonts w:ascii="Times New Roman" w:hAnsi="Times New Roman"/>
          <w:b/>
          <w:sz w:val="22"/>
          <w:lang w:val="fr-FR"/>
        </w:rPr>
      </w:pPr>
      <w:bookmarkStart w:id="17" w:name="_Hlk162007248"/>
      <w:bookmarkEnd w:id="16"/>
      <w:r w:rsidRPr="00920825">
        <w:rPr>
          <w:rFonts w:ascii="Times New Roman" w:hAnsi="Times New Roman"/>
          <w:b/>
          <w:sz w:val="22"/>
          <w:lang w:val="fr-FR"/>
        </w:rPr>
        <w:t>EULEX Kosovo – Procurement Section</w:t>
      </w:r>
    </w:p>
    <w:p w14:paraId="093CD1A1" w14:textId="77777777" w:rsidR="009C383D" w:rsidRPr="00920825" w:rsidRDefault="009C383D" w:rsidP="009C383D">
      <w:pPr>
        <w:pStyle w:val="BodyText"/>
        <w:spacing w:before="0" w:after="0"/>
        <w:ind w:left="360"/>
        <w:jc w:val="center"/>
        <w:rPr>
          <w:rFonts w:ascii="Times New Roman" w:hAnsi="Times New Roman"/>
          <w:b/>
          <w:sz w:val="22"/>
          <w:lang w:val="fr-FR"/>
        </w:rPr>
      </w:pPr>
      <w:bookmarkStart w:id="18" w:name="_Hlk162271944"/>
      <w:r w:rsidRPr="00920825">
        <w:rPr>
          <w:rFonts w:ascii="Times New Roman" w:hAnsi="Times New Roman"/>
          <w:b/>
          <w:sz w:val="22"/>
          <w:lang w:val="fr-FR"/>
        </w:rPr>
        <w:t xml:space="preserve">Industrial Zone, St. Lidhja e Pejes P.O.Box 268, </w:t>
      </w:r>
    </w:p>
    <w:bookmarkEnd w:id="18"/>
    <w:p w14:paraId="7D42CA67" w14:textId="77777777" w:rsidR="009C383D" w:rsidRPr="00081B0C" w:rsidRDefault="009C383D" w:rsidP="009C383D">
      <w:pPr>
        <w:pStyle w:val="BodyText"/>
        <w:spacing w:before="0" w:after="0"/>
        <w:ind w:left="360"/>
        <w:jc w:val="center"/>
        <w:rPr>
          <w:rFonts w:ascii="Times New Roman" w:hAnsi="Times New Roman"/>
          <w:b/>
          <w:sz w:val="22"/>
        </w:rPr>
      </w:pPr>
      <w:r w:rsidRPr="00081B0C">
        <w:rPr>
          <w:rFonts w:ascii="Times New Roman" w:hAnsi="Times New Roman"/>
          <w:b/>
          <w:sz w:val="22"/>
        </w:rPr>
        <w:t>10000 Pristina, Kosovo</w:t>
      </w:r>
    </w:p>
    <w:bookmarkEnd w:id="17"/>
    <w:p w14:paraId="5DFDEA99" w14:textId="77777777" w:rsidR="0047783A" w:rsidRPr="009C383D" w:rsidRDefault="0047783A" w:rsidP="000D1B17">
      <w:pPr>
        <w:ind w:left="567"/>
        <w:jc w:val="both"/>
        <w:rPr>
          <w:rFonts w:ascii="Times New Roman" w:hAnsi="Times New Roman"/>
          <w:sz w:val="22"/>
        </w:rPr>
      </w:pPr>
      <w:r w:rsidRPr="009C383D">
        <w:rPr>
          <w:rFonts w:ascii="Times New Roman" w:hAnsi="Times New Roman"/>
          <w:sz w:val="22"/>
        </w:rPr>
        <w:t>If the tenders are hand delivered they should be delivered to the following address:</w:t>
      </w:r>
    </w:p>
    <w:p w14:paraId="55ABF640" w14:textId="77777777" w:rsidR="009C383D" w:rsidRPr="00920825" w:rsidRDefault="009C383D" w:rsidP="009C383D">
      <w:pPr>
        <w:pStyle w:val="BodyText"/>
        <w:spacing w:before="0" w:after="0"/>
        <w:ind w:left="360"/>
        <w:jc w:val="center"/>
        <w:rPr>
          <w:rFonts w:ascii="Times New Roman" w:hAnsi="Times New Roman"/>
          <w:b/>
          <w:sz w:val="22"/>
          <w:lang w:val="fr-FR"/>
        </w:rPr>
      </w:pPr>
      <w:r w:rsidRPr="00920825">
        <w:rPr>
          <w:rFonts w:ascii="Times New Roman" w:hAnsi="Times New Roman"/>
          <w:b/>
          <w:sz w:val="22"/>
          <w:lang w:val="fr-FR"/>
        </w:rPr>
        <w:t>EULEX Kosovo – Procurement Section</w:t>
      </w:r>
    </w:p>
    <w:p w14:paraId="4112CFB0" w14:textId="77777777" w:rsidR="009C383D" w:rsidRPr="00920825" w:rsidRDefault="009C383D" w:rsidP="009C383D">
      <w:pPr>
        <w:pStyle w:val="BodyText"/>
        <w:spacing w:before="0" w:after="0"/>
        <w:ind w:left="360"/>
        <w:jc w:val="center"/>
        <w:rPr>
          <w:rFonts w:ascii="Times New Roman" w:hAnsi="Times New Roman"/>
          <w:b/>
          <w:sz w:val="22"/>
          <w:lang w:val="fr-FR"/>
        </w:rPr>
      </w:pPr>
      <w:bookmarkStart w:id="19" w:name="_Hlk151641815"/>
      <w:bookmarkStart w:id="20" w:name="_Hlk193697861"/>
      <w:r w:rsidRPr="00920825">
        <w:rPr>
          <w:rFonts w:ascii="Times New Roman" w:hAnsi="Times New Roman"/>
          <w:b/>
          <w:sz w:val="22"/>
          <w:lang w:val="fr-FR"/>
        </w:rPr>
        <w:t xml:space="preserve">Industrial Zone, St. Lidhja e Pejes </w:t>
      </w:r>
      <w:bookmarkEnd w:id="19"/>
      <w:r w:rsidRPr="00920825">
        <w:rPr>
          <w:rFonts w:ascii="Times New Roman" w:hAnsi="Times New Roman"/>
          <w:b/>
          <w:sz w:val="22"/>
          <w:lang w:val="fr-FR"/>
        </w:rPr>
        <w:t xml:space="preserve">P.O.Box 268, </w:t>
      </w:r>
    </w:p>
    <w:bookmarkEnd w:id="20"/>
    <w:p w14:paraId="09B675FF" w14:textId="77777777" w:rsidR="009C383D" w:rsidRPr="00081B0C" w:rsidRDefault="009C383D" w:rsidP="009C383D">
      <w:pPr>
        <w:pStyle w:val="BodyText"/>
        <w:spacing w:before="0" w:after="0"/>
        <w:ind w:left="360"/>
        <w:jc w:val="center"/>
        <w:rPr>
          <w:rFonts w:ascii="Times New Roman" w:hAnsi="Times New Roman"/>
          <w:b/>
          <w:sz w:val="22"/>
        </w:rPr>
      </w:pPr>
      <w:r w:rsidRPr="00081B0C">
        <w:rPr>
          <w:rFonts w:ascii="Times New Roman" w:hAnsi="Times New Roman"/>
          <w:b/>
          <w:sz w:val="22"/>
        </w:rPr>
        <w:t>10000 Pristina, Kosovo</w:t>
      </w:r>
    </w:p>
    <w:p w14:paraId="1FC7BA45" w14:textId="77777777" w:rsidR="0047783A" w:rsidRPr="009C383D" w:rsidRDefault="0047783A" w:rsidP="009956B4">
      <w:pPr>
        <w:ind w:left="567"/>
        <w:jc w:val="both"/>
        <w:rPr>
          <w:rFonts w:ascii="Times New Roman" w:hAnsi="Times New Roman"/>
          <w:sz w:val="22"/>
        </w:rPr>
      </w:pPr>
      <w:r w:rsidRPr="009C383D">
        <w:rPr>
          <w:rFonts w:ascii="Times New Roman" w:hAnsi="Times New Roman"/>
          <w:sz w:val="22"/>
        </w:rPr>
        <w:t>Tenders must comply with the following conditions:</w:t>
      </w:r>
    </w:p>
    <w:p w14:paraId="4C41A8D4" w14:textId="022B7C23" w:rsidR="0047783A" w:rsidRPr="00E82463" w:rsidRDefault="0047783A" w:rsidP="000D1B17">
      <w:pPr>
        <w:pStyle w:val="Heading2"/>
        <w:ind w:left="567" w:hanging="567"/>
        <w:jc w:val="both"/>
        <w:rPr>
          <w:rFonts w:ascii="Times New Roman" w:hAnsi="Times New Roman"/>
          <w:lang w:val="en-GB"/>
        </w:rPr>
      </w:pPr>
      <w:bookmarkStart w:id="21" w:name="_Ref500330141"/>
      <w:r w:rsidRPr="00E82463">
        <w:rPr>
          <w:rFonts w:ascii="Times New Roman" w:hAnsi="Times New Roman"/>
          <w:sz w:val="22"/>
          <w:lang w:val="en-GB"/>
        </w:rPr>
        <w:t>10.</w:t>
      </w:r>
      <w:r w:rsidR="00F953EB" w:rsidRPr="009C383D">
        <w:rPr>
          <w:rFonts w:ascii="Times New Roman" w:hAnsi="Times New Roman"/>
          <w:sz w:val="22"/>
          <w:lang w:val="en-GB"/>
        </w:rPr>
        <w:t>2</w:t>
      </w:r>
      <w:r w:rsidRPr="009C383D">
        <w:rPr>
          <w:rFonts w:ascii="Times New Roman" w:hAnsi="Times New Roman"/>
          <w:sz w:val="22"/>
          <w:lang w:val="en-GB"/>
        </w:rPr>
        <w:tab/>
        <w:t xml:space="preserve">All tenders must be submitted in one original, marked </w:t>
      </w:r>
      <w:r w:rsidR="006A5F84" w:rsidRPr="009C383D">
        <w:rPr>
          <w:rFonts w:ascii="Times New Roman" w:hAnsi="Times New Roman"/>
          <w:sz w:val="22"/>
          <w:lang w:val="en-GB"/>
        </w:rPr>
        <w:t>‘</w:t>
      </w:r>
      <w:r w:rsidRPr="009C383D">
        <w:rPr>
          <w:rFonts w:ascii="Times New Roman" w:hAnsi="Times New Roman"/>
          <w:sz w:val="22"/>
          <w:lang w:val="en-GB"/>
        </w:rPr>
        <w:t>original</w:t>
      </w:r>
      <w:r w:rsidR="006A5F84" w:rsidRPr="009C383D">
        <w:rPr>
          <w:rFonts w:ascii="Times New Roman" w:hAnsi="Times New Roman"/>
          <w:sz w:val="22"/>
          <w:lang w:val="en-GB"/>
        </w:rPr>
        <w:t>’</w:t>
      </w:r>
      <w:r w:rsidRPr="009C383D">
        <w:rPr>
          <w:rFonts w:ascii="Times New Roman" w:hAnsi="Times New Roman"/>
          <w:sz w:val="22"/>
          <w:lang w:val="en-GB"/>
        </w:rPr>
        <w:t>, and</w:t>
      </w:r>
      <w:r w:rsidR="009C383D" w:rsidRPr="009C383D">
        <w:rPr>
          <w:rFonts w:ascii="Times New Roman" w:hAnsi="Times New Roman"/>
          <w:sz w:val="22"/>
          <w:lang w:val="en-GB"/>
        </w:rPr>
        <w:t xml:space="preserve"> 3</w:t>
      </w:r>
      <w:r w:rsidRPr="009C383D">
        <w:rPr>
          <w:rFonts w:ascii="Times New Roman" w:hAnsi="Times New Roman"/>
          <w:sz w:val="22"/>
          <w:lang w:val="en-GB"/>
        </w:rPr>
        <w:t xml:space="preserve"> copies signed in the same way as the original and marked </w:t>
      </w:r>
      <w:r w:rsidR="006A5F84" w:rsidRPr="009C383D">
        <w:rPr>
          <w:rFonts w:ascii="Times New Roman" w:hAnsi="Times New Roman"/>
          <w:sz w:val="22"/>
          <w:lang w:val="en-GB"/>
        </w:rPr>
        <w:t>‘</w:t>
      </w:r>
      <w:r w:rsidRPr="009C383D">
        <w:rPr>
          <w:rFonts w:ascii="Times New Roman" w:hAnsi="Times New Roman"/>
          <w:sz w:val="22"/>
          <w:lang w:val="en-GB"/>
        </w:rPr>
        <w:t>copy</w:t>
      </w:r>
      <w:r w:rsidR="006A5F84" w:rsidRPr="009C383D">
        <w:rPr>
          <w:rFonts w:ascii="Times New Roman" w:hAnsi="Times New Roman"/>
          <w:sz w:val="22"/>
          <w:lang w:val="en-GB"/>
        </w:rPr>
        <w:t>’</w:t>
      </w:r>
      <w:r w:rsidR="009C383D" w:rsidRPr="009C383D">
        <w:rPr>
          <w:rFonts w:ascii="Times New Roman" w:hAnsi="Times New Roman"/>
          <w:sz w:val="22"/>
          <w:lang w:val="en-GB"/>
        </w:rPr>
        <w:t>.</w:t>
      </w:r>
    </w:p>
    <w:bookmarkEnd w:id="21"/>
    <w:p w14:paraId="0DF6BCF6" w14:textId="73D474D5" w:rsidR="0086759F" w:rsidRPr="009C383D" w:rsidRDefault="0047783A" w:rsidP="000D1B17">
      <w:pPr>
        <w:pStyle w:val="Heading2"/>
        <w:ind w:left="567" w:hanging="567"/>
        <w:jc w:val="both"/>
        <w:rPr>
          <w:rFonts w:ascii="Times New Roman" w:hAnsi="Times New Roman"/>
          <w:sz w:val="22"/>
          <w:lang w:val="en-GB"/>
        </w:rPr>
      </w:pPr>
      <w:r w:rsidRPr="00E82463">
        <w:rPr>
          <w:rFonts w:ascii="Times New Roman" w:hAnsi="Times New Roman"/>
          <w:sz w:val="22"/>
          <w:lang w:val="en-GB"/>
        </w:rPr>
        <w:t>10.</w:t>
      </w:r>
      <w:r w:rsidR="00F953EB">
        <w:rPr>
          <w:rFonts w:ascii="Times New Roman" w:hAnsi="Times New Roman"/>
          <w:sz w:val="22"/>
          <w:lang w:val="en-GB"/>
        </w:rPr>
        <w:t>3</w:t>
      </w:r>
      <w:r w:rsidRPr="00E82463">
        <w:rPr>
          <w:rFonts w:ascii="Times New Roman" w:hAnsi="Times New Roman"/>
          <w:sz w:val="22"/>
          <w:lang w:val="en-GB"/>
        </w:rPr>
        <w:tab/>
      </w:r>
      <w:r w:rsidR="003F2375" w:rsidRPr="009C383D">
        <w:rPr>
          <w:rFonts w:ascii="Times New Roman" w:hAnsi="Times New Roman"/>
          <w:sz w:val="22"/>
          <w:lang w:val="en-GB"/>
        </w:rPr>
        <w:t>The tenders should be submitted:</w:t>
      </w:r>
    </w:p>
    <w:p w14:paraId="4DBBEB14" w14:textId="767D67DC" w:rsidR="0086759F" w:rsidRPr="009C383D" w:rsidRDefault="0086759F" w:rsidP="00D45256">
      <w:pPr>
        <w:pStyle w:val="Heading2"/>
        <w:ind w:left="1134" w:hanging="567"/>
        <w:jc w:val="both"/>
        <w:rPr>
          <w:rFonts w:ascii="Times New Roman" w:hAnsi="Times New Roman"/>
          <w:sz w:val="22"/>
          <w:lang w:val="en-GB"/>
        </w:rPr>
      </w:pPr>
      <w:r w:rsidRPr="009C383D">
        <w:rPr>
          <w:rFonts w:ascii="Times New Roman" w:hAnsi="Times New Roman"/>
          <w:sz w:val="22"/>
          <w:lang w:val="en-GB"/>
        </w:rPr>
        <w:t>(a)</w:t>
      </w:r>
      <w:r w:rsidR="00E93A21" w:rsidRPr="009C383D">
        <w:rPr>
          <w:rFonts w:ascii="Times New Roman" w:hAnsi="Times New Roman"/>
          <w:sz w:val="22"/>
          <w:lang w:val="en-GB"/>
        </w:rPr>
        <w:tab/>
      </w:r>
      <w:r w:rsidRPr="009C383D">
        <w:rPr>
          <w:rFonts w:ascii="Times New Roman" w:hAnsi="Times New Roman"/>
          <w:sz w:val="22"/>
          <w:lang w:val="en-GB"/>
        </w:rPr>
        <w:t>either by post or by courier service, in which case the evidence shall be constituted by the postmark or the date of the deposit slip</w:t>
      </w:r>
      <w:r w:rsidR="00803383" w:rsidRPr="009C383D">
        <w:rPr>
          <w:rStyle w:val="FootnoteReference"/>
          <w:rFonts w:ascii="Times New Roman" w:hAnsi="Times New Roman"/>
          <w:sz w:val="22"/>
          <w:szCs w:val="22"/>
          <w:lang w:val="en-US"/>
        </w:rPr>
        <w:footnoteReference w:id="5"/>
      </w:r>
    </w:p>
    <w:p w14:paraId="3D364392" w14:textId="40E2594E" w:rsidR="0086759F" w:rsidRPr="009C383D" w:rsidRDefault="0086759F" w:rsidP="00D45256">
      <w:pPr>
        <w:pStyle w:val="Heading2"/>
        <w:ind w:left="1134" w:hanging="567"/>
        <w:jc w:val="both"/>
        <w:rPr>
          <w:rFonts w:ascii="Times New Roman" w:hAnsi="Times New Roman"/>
          <w:sz w:val="22"/>
          <w:lang w:val="en-GB"/>
        </w:rPr>
      </w:pPr>
      <w:r w:rsidRPr="009C383D">
        <w:rPr>
          <w:rFonts w:ascii="Times New Roman" w:hAnsi="Times New Roman"/>
          <w:sz w:val="22"/>
          <w:lang w:val="en-GB"/>
        </w:rPr>
        <w:t>(b)</w:t>
      </w:r>
      <w:r w:rsidR="00E93A21" w:rsidRPr="009C383D">
        <w:rPr>
          <w:rFonts w:ascii="Times New Roman" w:hAnsi="Times New Roman"/>
          <w:sz w:val="22"/>
          <w:lang w:val="en-GB"/>
        </w:rPr>
        <w:tab/>
      </w:r>
      <w:r w:rsidR="00740F25" w:rsidRPr="009C383D">
        <w:rPr>
          <w:rFonts w:ascii="Times New Roman" w:hAnsi="Times New Roman"/>
          <w:sz w:val="22"/>
          <w:lang w:val="en-GB"/>
        </w:rPr>
        <w:t xml:space="preserve">or </w:t>
      </w:r>
      <w:r w:rsidRPr="009C383D">
        <w:rPr>
          <w:rFonts w:ascii="Times New Roman" w:hAnsi="Times New Roman"/>
          <w:sz w:val="22"/>
          <w:lang w:val="en-GB"/>
        </w:rPr>
        <w:t xml:space="preserve">by hand-delivery to the premises of the </w:t>
      </w:r>
      <w:r w:rsidR="006E4A76" w:rsidRPr="009C383D">
        <w:rPr>
          <w:rFonts w:ascii="Times New Roman" w:hAnsi="Times New Roman"/>
          <w:sz w:val="22"/>
          <w:lang w:val="en-GB"/>
        </w:rPr>
        <w:t>contracting authority</w:t>
      </w:r>
      <w:r w:rsidRPr="009C383D">
        <w:rPr>
          <w:rFonts w:ascii="Times New Roman" w:hAnsi="Times New Roman"/>
          <w:sz w:val="22"/>
          <w:lang w:val="en-GB"/>
        </w:rPr>
        <w:t xml:space="preserve"> by the participant in person or by an agent, in which case the evidence shall be constituted by </w:t>
      </w:r>
      <w:r w:rsidR="006E4A76" w:rsidRPr="009C383D">
        <w:rPr>
          <w:rFonts w:ascii="Times New Roman" w:hAnsi="Times New Roman"/>
          <w:sz w:val="22"/>
          <w:lang w:val="en-GB"/>
        </w:rPr>
        <w:t xml:space="preserve">the </w:t>
      </w:r>
      <w:r w:rsidRPr="009C383D">
        <w:rPr>
          <w:rFonts w:ascii="Times New Roman" w:hAnsi="Times New Roman"/>
          <w:sz w:val="22"/>
          <w:lang w:val="en-GB"/>
        </w:rPr>
        <w:t>acknowledgment of receipt.</w:t>
      </w:r>
      <w:r w:rsidR="0047783A" w:rsidRPr="009C383D">
        <w:rPr>
          <w:rFonts w:ascii="Times New Roman" w:hAnsi="Times New Roman"/>
          <w:sz w:val="22"/>
          <w:lang w:val="en-GB"/>
        </w:rPr>
        <w:t xml:space="preserve"> </w:t>
      </w:r>
    </w:p>
    <w:p w14:paraId="65CB01B1" w14:textId="389307B7" w:rsidR="008B2A9C" w:rsidRPr="009C383D" w:rsidRDefault="008B2A9C" w:rsidP="009956B4">
      <w:pPr>
        <w:pStyle w:val="Heading2"/>
        <w:keepNext w:val="0"/>
        <w:ind w:left="567"/>
        <w:jc w:val="both"/>
        <w:rPr>
          <w:rFonts w:ascii="Times New Roman" w:hAnsi="Times New Roman"/>
          <w:sz w:val="22"/>
          <w:lang w:val="en-IE"/>
        </w:rPr>
      </w:pPr>
      <w:r w:rsidRPr="009C383D">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9C383D">
        <w:rPr>
          <w:rFonts w:ascii="Times New Roman" w:hAnsi="Times New Roman"/>
          <w:sz w:val="22"/>
          <w:lang w:val="en-GB"/>
        </w:rPr>
        <w:t xml:space="preserve"> </w:t>
      </w:r>
      <w:r w:rsidRPr="009C383D">
        <w:rPr>
          <w:rFonts w:ascii="Times New Roman" w:hAnsi="Times New Roman"/>
          <w:sz w:val="22"/>
          <w:lang w:val="en-GB"/>
        </w:rPr>
        <w:t>or jeopardise decisions already taken and notified.</w:t>
      </w:r>
    </w:p>
    <w:p w14:paraId="380CD258" w14:textId="221C1B16" w:rsidR="0047783A" w:rsidRPr="009C383D" w:rsidRDefault="0047783A" w:rsidP="009956B4">
      <w:pPr>
        <w:pStyle w:val="Heading2"/>
        <w:keepNext w:val="0"/>
        <w:ind w:left="567" w:hanging="567"/>
        <w:jc w:val="both"/>
        <w:rPr>
          <w:rFonts w:ascii="Times New Roman" w:hAnsi="Times New Roman"/>
          <w:sz w:val="22"/>
          <w:lang w:val="en-IE"/>
        </w:rPr>
      </w:pPr>
      <w:r w:rsidRPr="000D1B17">
        <w:rPr>
          <w:rFonts w:ascii="Times New Roman" w:hAnsi="Times New Roman"/>
          <w:sz w:val="22"/>
          <w:lang w:val="en-GB"/>
        </w:rPr>
        <w:t>10.</w:t>
      </w:r>
      <w:r w:rsidR="00F953EB">
        <w:rPr>
          <w:rFonts w:ascii="Times New Roman" w:hAnsi="Times New Roman"/>
          <w:sz w:val="22"/>
          <w:lang w:val="en-GB"/>
        </w:rPr>
        <w:t>4</w:t>
      </w:r>
      <w:r w:rsidRPr="000D1B17">
        <w:rPr>
          <w:rFonts w:ascii="Times New Roman" w:hAnsi="Times New Roman"/>
          <w:sz w:val="22"/>
          <w:lang w:val="en-GB"/>
        </w:rPr>
        <w:tab/>
      </w:r>
      <w:r w:rsidRPr="009C383D">
        <w:rPr>
          <w:rFonts w:ascii="Times New Roman" w:hAnsi="Times New Roman"/>
          <w:sz w:val="22"/>
          <w:lang w:val="en-GB"/>
        </w:rPr>
        <w:t>All tenders, including annexes and all supporting documents, must be submitted in a sealed envelope bearing only:</w:t>
      </w:r>
    </w:p>
    <w:p w14:paraId="5EEE5B26" w14:textId="77777777" w:rsidR="0047783A" w:rsidRPr="009C383D" w:rsidRDefault="0047783A" w:rsidP="00D45256">
      <w:pPr>
        <w:pStyle w:val="Heading2"/>
        <w:keepNext w:val="0"/>
        <w:ind w:left="1134" w:hanging="283"/>
        <w:jc w:val="both"/>
        <w:rPr>
          <w:rFonts w:ascii="Times New Roman" w:hAnsi="Times New Roman"/>
          <w:sz w:val="22"/>
          <w:lang w:val="en-IE"/>
        </w:rPr>
      </w:pPr>
      <w:r w:rsidRPr="009C383D">
        <w:rPr>
          <w:rFonts w:ascii="Times New Roman" w:hAnsi="Times New Roman"/>
          <w:sz w:val="22"/>
          <w:lang w:val="en-GB"/>
        </w:rPr>
        <w:t>a)</w:t>
      </w:r>
      <w:r w:rsidRPr="009C383D">
        <w:rPr>
          <w:rFonts w:ascii="Times New Roman" w:hAnsi="Times New Roman"/>
          <w:sz w:val="22"/>
          <w:lang w:val="en-GB"/>
        </w:rPr>
        <w:tab/>
        <w:t>the above address;</w:t>
      </w:r>
    </w:p>
    <w:p w14:paraId="792BB132" w14:textId="7AC82F2C" w:rsidR="0047783A" w:rsidRPr="009956B4" w:rsidRDefault="0047783A" w:rsidP="00D45256">
      <w:pPr>
        <w:pStyle w:val="Heading2"/>
        <w:keepNext w:val="0"/>
        <w:ind w:left="1134" w:hanging="283"/>
        <w:jc w:val="both"/>
        <w:rPr>
          <w:rFonts w:ascii="Times New Roman" w:hAnsi="Times New Roman"/>
          <w:sz w:val="22"/>
          <w:lang w:val="en-IE"/>
        </w:rPr>
      </w:pPr>
      <w:r w:rsidRPr="000B7CA0">
        <w:rPr>
          <w:rFonts w:ascii="Times New Roman" w:hAnsi="Times New Roman"/>
          <w:sz w:val="22"/>
          <w:lang w:val="en-GB"/>
        </w:rPr>
        <w:t>b)</w:t>
      </w:r>
      <w:r w:rsidRPr="000B7CA0">
        <w:rPr>
          <w:rFonts w:ascii="Times New Roman" w:hAnsi="Times New Roman"/>
          <w:sz w:val="22"/>
          <w:lang w:val="en-GB"/>
        </w:rPr>
        <w:tab/>
        <w:t xml:space="preserve">the reference code of this tender procedure, (i.e. </w:t>
      </w:r>
      <w:r w:rsidR="000B7CA0" w:rsidRPr="000B7CA0">
        <w:rPr>
          <w:rFonts w:ascii="Times New Roman" w:hAnsi="Times New Roman"/>
          <w:sz w:val="22"/>
          <w:lang w:val="en-GB"/>
        </w:rPr>
        <w:t>PROC/1381/25/Supply of Medicaments and Medical Products No.8</w:t>
      </w:r>
      <w:r w:rsidRPr="000B7CA0">
        <w:rPr>
          <w:rFonts w:ascii="Times New Roman" w:hAnsi="Times New Roman"/>
          <w:sz w:val="22"/>
          <w:lang w:val="en-GB"/>
        </w:rPr>
        <w:t>);</w:t>
      </w:r>
    </w:p>
    <w:p w14:paraId="1C39B6B0" w14:textId="77777777" w:rsidR="0047783A" w:rsidRPr="009C383D" w:rsidRDefault="0047783A" w:rsidP="00D45256">
      <w:pPr>
        <w:pStyle w:val="Heading2"/>
        <w:keepNext w:val="0"/>
        <w:ind w:left="1134" w:hanging="283"/>
        <w:jc w:val="both"/>
        <w:rPr>
          <w:rFonts w:ascii="Times New Roman" w:hAnsi="Times New Roman"/>
          <w:sz w:val="22"/>
          <w:lang w:val="en-IE"/>
        </w:rPr>
      </w:pPr>
      <w:r w:rsidRPr="009C383D">
        <w:rPr>
          <w:rFonts w:ascii="Times New Roman" w:hAnsi="Times New Roman"/>
          <w:sz w:val="22"/>
          <w:lang w:val="en-GB"/>
        </w:rPr>
        <w:t>c)</w:t>
      </w:r>
      <w:r w:rsidRPr="009C383D">
        <w:rPr>
          <w:rFonts w:ascii="Times New Roman" w:hAnsi="Times New Roman"/>
          <w:sz w:val="22"/>
          <w:lang w:val="en-GB"/>
        </w:rPr>
        <w:tab/>
        <w:t>where applicable, the number of the lot(s) tendered for;</w:t>
      </w:r>
    </w:p>
    <w:p w14:paraId="6D224A96" w14:textId="1E67A634" w:rsidR="0047783A" w:rsidRPr="009956B4" w:rsidRDefault="0047783A" w:rsidP="00D45256">
      <w:pPr>
        <w:pStyle w:val="Heading2"/>
        <w:keepNext w:val="0"/>
        <w:ind w:left="1134" w:hanging="283"/>
        <w:jc w:val="both"/>
        <w:rPr>
          <w:rFonts w:ascii="Times New Roman" w:hAnsi="Times New Roman"/>
          <w:sz w:val="22"/>
          <w:lang w:val="en-IE"/>
        </w:rPr>
      </w:pPr>
      <w:r w:rsidRPr="009C383D">
        <w:rPr>
          <w:rFonts w:ascii="Times New Roman" w:hAnsi="Times New Roman"/>
          <w:sz w:val="22"/>
          <w:lang w:val="en-GB"/>
        </w:rPr>
        <w:t>d)</w:t>
      </w:r>
      <w:r w:rsidRPr="009C383D">
        <w:rPr>
          <w:rFonts w:ascii="Times New Roman" w:hAnsi="Times New Roman"/>
          <w:sz w:val="22"/>
          <w:lang w:val="en-GB"/>
        </w:rPr>
        <w:tab/>
        <w:t xml:space="preserve">the words </w:t>
      </w:r>
      <w:r w:rsidR="009C383D" w:rsidRPr="009C383D">
        <w:rPr>
          <w:rFonts w:ascii="Times New Roman" w:hAnsi="Times New Roman"/>
          <w:sz w:val="22"/>
          <w:lang w:val="en-GB"/>
        </w:rPr>
        <w:t>‘Not to be opened before the tender opening session’ in the language of the tender dossier and “Te mos hapet para sesionit te hapjes” and “Ne otvori pre otvarajuce sesije”.</w:t>
      </w:r>
    </w:p>
    <w:p w14:paraId="579455BA" w14:textId="77777777" w:rsidR="0047783A" w:rsidRPr="00413500" w:rsidRDefault="0047783A" w:rsidP="00D45256">
      <w:pPr>
        <w:pStyle w:val="Heading2"/>
        <w:keepNext w:val="0"/>
        <w:ind w:left="1134" w:hanging="283"/>
        <w:jc w:val="both"/>
        <w:rPr>
          <w:rFonts w:ascii="Times New Roman" w:hAnsi="Times New Roman"/>
          <w:sz w:val="22"/>
          <w:lang w:val="en-IE"/>
        </w:rPr>
      </w:pPr>
      <w:r w:rsidRPr="00413500">
        <w:rPr>
          <w:rFonts w:ascii="Times New Roman" w:hAnsi="Times New Roman"/>
          <w:sz w:val="22"/>
          <w:lang w:val="en-GB"/>
        </w:rPr>
        <w:lastRenderedPageBreak/>
        <w:t>e)</w:t>
      </w:r>
      <w:r w:rsidRPr="00413500">
        <w:rPr>
          <w:rFonts w:ascii="Times New Roman" w:hAnsi="Times New Roman"/>
          <w:sz w:val="22"/>
          <w:lang w:val="en-GB"/>
        </w:rPr>
        <w:tab/>
        <w:t>the name of the tenderer.</w:t>
      </w:r>
    </w:p>
    <w:p w14:paraId="70A99683" w14:textId="27EDE8E7" w:rsidR="0047783A" w:rsidRPr="00413500" w:rsidRDefault="0047783A" w:rsidP="009956B4">
      <w:pPr>
        <w:pStyle w:val="Heading2"/>
        <w:keepNext w:val="0"/>
        <w:ind w:left="567"/>
        <w:jc w:val="both"/>
        <w:rPr>
          <w:rFonts w:ascii="Times New Roman" w:hAnsi="Times New Roman"/>
          <w:sz w:val="22"/>
          <w:lang w:val="en-GB"/>
        </w:rPr>
      </w:pPr>
      <w:bookmarkStart w:id="22" w:name="_Hlk168671040"/>
      <w:r w:rsidRPr="00413500">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4688DDE7" w:rsidR="0047783A" w:rsidRPr="00D45256" w:rsidRDefault="00A633C6" w:rsidP="00D45256">
      <w:pPr>
        <w:pStyle w:val="Heading1"/>
        <w:rPr>
          <w:lang w:val="en-IE"/>
        </w:rPr>
      </w:pPr>
      <w:bookmarkStart w:id="23" w:name="_Toc42488080"/>
      <w:bookmarkEnd w:id="22"/>
      <w:r w:rsidRPr="00D45256">
        <w:rPr>
          <w:lang w:val="en-IE"/>
        </w:rPr>
        <w:t>11.</w:t>
      </w:r>
      <w:r w:rsidR="005A3D33" w:rsidRPr="00D45256">
        <w:rPr>
          <w:lang w:val="en-IE"/>
        </w:rPr>
        <w:tab/>
      </w:r>
      <w:r w:rsidR="0047783A" w:rsidRPr="00D45256">
        <w:rPr>
          <w:lang w:val="en-IE"/>
        </w:rPr>
        <w:t>Content of tenders</w:t>
      </w:r>
      <w:bookmarkEnd w:id="23"/>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4717F63F"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413500">
        <w:rPr>
          <w:rFonts w:ascii="Times New Roman" w:hAnsi="Times New Roman"/>
          <w:b/>
          <w:bCs/>
          <w:sz w:val="22"/>
          <w:szCs w:val="22"/>
          <w:lang w:val="en-GB"/>
        </w:rPr>
        <w:t>a detailed description of the supplies</w:t>
      </w:r>
      <w:r w:rsidRPr="00E82463">
        <w:rPr>
          <w:rFonts w:ascii="Times New Roman" w:hAnsi="Times New Roman"/>
          <w:sz w:val="22"/>
          <w:szCs w:val="22"/>
          <w:lang w:val="en-GB"/>
        </w:rPr>
        <w:t xml:space="preserve"> tendered in conformity with the technical specifications, including any documentation required</w:t>
      </w:r>
      <w:r w:rsidR="00B569B1" w:rsidRPr="00E82463">
        <w:rPr>
          <w:rFonts w:ascii="Times New Roman" w:hAnsi="Times New Roman"/>
          <w:sz w:val="22"/>
          <w:szCs w:val="22"/>
          <w:lang w:val="en-GB"/>
        </w:rPr>
        <w:t>:</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31167F22" w:rsidR="0047783A" w:rsidRPr="00E82463"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w:t>
      </w:r>
      <w:r w:rsidRPr="00655336">
        <w:rPr>
          <w:rFonts w:ascii="Times New Roman" w:hAnsi="Times New Roman"/>
          <w:b/>
          <w:bCs/>
          <w:sz w:val="22"/>
          <w:szCs w:val="22"/>
          <w:lang w:val="en-GB"/>
        </w:rPr>
        <w:t>financial offer calculated on a</w:t>
      </w:r>
      <w:r w:rsidR="00413500" w:rsidRPr="00655336">
        <w:rPr>
          <w:rFonts w:ascii="Times New Roman" w:hAnsi="Times New Roman"/>
          <w:b/>
          <w:bCs/>
          <w:sz w:val="22"/>
          <w:szCs w:val="22"/>
          <w:lang w:val="en-GB"/>
        </w:rPr>
        <w:t xml:space="preserve"> </w:t>
      </w:r>
      <w:r w:rsidR="004365AD" w:rsidRPr="00655336">
        <w:rPr>
          <w:rFonts w:ascii="Times New Roman" w:hAnsi="Times New Roman"/>
          <w:b/>
          <w:bCs/>
          <w:sz w:val="22"/>
          <w:szCs w:val="22"/>
          <w:lang w:val="en-GB"/>
        </w:rPr>
        <w:t>DAP</w:t>
      </w:r>
      <w:r w:rsidR="00413500" w:rsidRPr="00413500">
        <w:rPr>
          <w:rFonts w:ascii="Times New Roman" w:hAnsi="Times New Roman"/>
          <w:sz w:val="22"/>
          <w:szCs w:val="22"/>
          <w:lang w:val="en-GB"/>
        </w:rPr>
        <w:t xml:space="preserve"> </w:t>
      </w:r>
      <w:r w:rsidRPr="00413500">
        <w:rPr>
          <w:rStyle w:val="FootnoteReference"/>
          <w:rFonts w:ascii="Times New Roman" w:hAnsi="Times New Roman"/>
        </w:rPr>
        <w:footnoteReference w:id="6"/>
      </w:r>
      <w:r w:rsidRPr="00413500">
        <w:rPr>
          <w:rFonts w:ascii="Times New Roman" w:hAnsi="Times New Roman"/>
          <w:sz w:val="22"/>
          <w:szCs w:val="22"/>
          <w:lang w:val="en-GB"/>
        </w:rPr>
        <w:t xml:space="preserve"> </w:t>
      </w:r>
      <w:r w:rsidR="000665DF" w:rsidRPr="00413500">
        <w:rPr>
          <w:rFonts w:ascii="Times New Roman" w:hAnsi="Times New Roman"/>
          <w:sz w:val="22"/>
          <w:szCs w:val="22"/>
          <w:lang w:val="en-GB"/>
        </w:rPr>
        <w:t xml:space="preserve">basis </w:t>
      </w:r>
      <w:r w:rsidRPr="00413500">
        <w:rPr>
          <w:rFonts w:ascii="Times New Roman" w:hAnsi="Times New Roman"/>
          <w:sz w:val="22"/>
          <w:szCs w:val="22"/>
          <w:lang w:val="en-GB"/>
        </w:rPr>
        <w:t>for the supplies tendered</w:t>
      </w:r>
      <w:r w:rsidR="00413500">
        <w:rPr>
          <w:rFonts w:ascii="Times New Roman" w:hAnsi="Times New Roman"/>
          <w:sz w:val="22"/>
          <w:szCs w:val="22"/>
          <w:lang w:val="en-GB"/>
        </w:rPr>
        <w:t>.</w:t>
      </w:r>
    </w:p>
    <w:p w14:paraId="664111AC" w14:textId="4E7B4214" w:rsidR="0047783A" w:rsidRDefault="0047783A" w:rsidP="00D45256">
      <w:pPr>
        <w:ind w:left="567"/>
        <w:jc w:val="both"/>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r w:rsidR="00180444">
        <w:rPr>
          <w:rFonts w:ascii="Times New Roman" w:hAnsi="Times New Roman"/>
          <w:sz w:val="22"/>
          <w:szCs w:val="22"/>
        </w:rPr>
        <w:t xml:space="preserve"> </w:t>
      </w:r>
      <w:r w:rsidR="00180444" w:rsidRPr="00180444">
        <w:rPr>
          <w:rFonts w:ascii="Times New Roman" w:hAnsi="Times New Roman"/>
          <w:sz w:val="22"/>
          <w:szCs w:val="22"/>
          <w:lang w:val="en-IE"/>
        </w:rPr>
        <w:t>All amounts are to be quoted excluding taxes. VAT, if applicable, is to be mentioned separately.</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715591E6" w14:textId="77777777" w:rsidR="00655336" w:rsidRPr="00945CB4" w:rsidRDefault="00655336" w:rsidP="00655336">
      <w:pPr>
        <w:numPr>
          <w:ilvl w:val="0"/>
          <w:numId w:val="6"/>
        </w:numPr>
        <w:tabs>
          <w:tab w:val="num" w:pos="1134"/>
          <w:tab w:val="num" w:pos="1211"/>
        </w:tabs>
        <w:spacing w:after="0"/>
        <w:ind w:left="1134" w:hanging="567"/>
        <w:jc w:val="both"/>
        <w:rPr>
          <w:rFonts w:ascii="Times New Roman" w:hAnsi="Times New Roman"/>
          <w:snapToGrid/>
          <w:sz w:val="22"/>
          <w:szCs w:val="22"/>
        </w:rPr>
      </w:pPr>
      <w:r w:rsidRPr="00AC07D4">
        <w:rPr>
          <w:rFonts w:ascii="Times New Roman" w:hAnsi="Times New Roman"/>
          <w:sz w:val="22"/>
          <w:szCs w:val="22"/>
        </w:rPr>
        <w:t xml:space="preserve">The tender guarantee, for </w:t>
      </w:r>
      <w:r w:rsidRPr="00CF5166">
        <w:rPr>
          <w:rFonts w:ascii="Times New Roman" w:hAnsi="Times New Roman"/>
          <w:b/>
          <w:snapToGrid/>
          <w:sz w:val="22"/>
          <w:szCs w:val="22"/>
        </w:rPr>
        <w:t>(see below table with the amount per lot),</w:t>
      </w:r>
    </w:p>
    <w:p w14:paraId="7ACB1312" w14:textId="77777777" w:rsidR="00655336" w:rsidRPr="00945CB4" w:rsidRDefault="00655336" w:rsidP="00655336">
      <w:pPr>
        <w:spacing w:after="0"/>
        <w:ind w:left="1134"/>
        <w:jc w:val="both"/>
        <w:rPr>
          <w:rFonts w:ascii="Times New Roman" w:hAnsi="Times New Roman"/>
          <w:snapToGrid/>
          <w:sz w:val="22"/>
          <w:szCs w:val="22"/>
        </w:rPr>
      </w:pPr>
    </w:p>
    <w:tbl>
      <w:tblPr>
        <w:tblW w:w="7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190"/>
        <w:gridCol w:w="2181"/>
      </w:tblGrid>
      <w:tr w:rsidR="00655336" w:rsidRPr="005C6DA1" w14:paraId="43EEEE42" w14:textId="77777777" w:rsidTr="00D9543F">
        <w:trPr>
          <w:trHeight w:val="348"/>
        </w:trPr>
        <w:tc>
          <w:tcPr>
            <w:tcW w:w="993" w:type="dxa"/>
          </w:tcPr>
          <w:p w14:paraId="5BA796BE" w14:textId="77777777" w:rsidR="00655336" w:rsidRPr="005C6DA1" w:rsidRDefault="00655336" w:rsidP="00D9543F">
            <w:pPr>
              <w:spacing w:before="0" w:after="0"/>
              <w:jc w:val="both"/>
              <w:outlineLvl w:val="1"/>
              <w:rPr>
                <w:rFonts w:ascii="Times New Roman" w:hAnsi="Times New Roman" w:cs="Arial"/>
                <w:bCs/>
                <w:iCs/>
                <w:snapToGrid/>
                <w:sz w:val="22"/>
                <w:szCs w:val="22"/>
              </w:rPr>
            </w:pPr>
            <w:r w:rsidRPr="005C6DA1">
              <w:rPr>
                <w:rFonts w:ascii="Times New Roman" w:hAnsi="Times New Roman" w:cs="Arial"/>
                <w:bCs/>
                <w:iCs/>
                <w:snapToGrid/>
                <w:sz w:val="22"/>
                <w:szCs w:val="22"/>
              </w:rPr>
              <w:t>Lot 1</w:t>
            </w:r>
          </w:p>
        </w:tc>
        <w:tc>
          <w:tcPr>
            <w:tcW w:w="4190" w:type="dxa"/>
          </w:tcPr>
          <w:p w14:paraId="474EE4F1" w14:textId="77777777" w:rsidR="00655336" w:rsidRPr="00217757" w:rsidRDefault="00655336" w:rsidP="00D9543F">
            <w:pPr>
              <w:spacing w:before="0" w:after="0"/>
              <w:jc w:val="center"/>
              <w:outlineLvl w:val="0"/>
              <w:rPr>
                <w:rFonts w:ascii="Times New Roman" w:hAnsi="Times New Roman"/>
                <w:bCs/>
                <w:snapToGrid/>
                <w:sz w:val="22"/>
                <w:szCs w:val="22"/>
                <w:lang w:val="en-US"/>
              </w:rPr>
            </w:pPr>
            <w:r w:rsidRPr="00217757">
              <w:rPr>
                <w:rFonts w:ascii="Times New Roman" w:hAnsi="Times New Roman"/>
                <w:bCs/>
                <w:snapToGrid/>
                <w:sz w:val="22"/>
                <w:szCs w:val="22"/>
                <w:lang w:val="en-US"/>
              </w:rPr>
              <w:t>Medicaments</w:t>
            </w:r>
          </w:p>
          <w:p w14:paraId="38B1DD4C" w14:textId="77777777" w:rsidR="00655336" w:rsidRPr="005C6DA1" w:rsidRDefault="00655336" w:rsidP="00D9543F">
            <w:pPr>
              <w:spacing w:before="0" w:after="0"/>
              <w:jc w:val="center"/>
              <w:outlineLvl w:val="0"/>
              <w:rPr>
                <w:rFonts w:ascii="Times New Roman" w:hAnsi="Times New Roman"/>
                <w:bCs/>
                <w:snapToGrid/>
                <w:sz w:val="22"/>
                <w:szCs w:val="22"/>
                <w:lang w:val="en-US"/>
              </w:rPr>
            </w:pPr>
          </w:p>
        </w:tc>
        <w:tc>
          <w:tcPr>
            <w:tcW w:w="2181" w:type="dxa"/>
          </w:tcPr>
          <w:p w14:paraId="1A838E18" w14:textId="4DDB7EFB" w:rsidR="00655336" w:rsidRPr="005C6DA1" w:rsidRDefault="00655336" w:rsidP="00D9543F">
            <w:pPr>
              <w:spacing w:before="0" w:after="0"/>
              <w:outlineLvl w:val="1"/>
              <w:rPr>
                <w:rFonts w:ascii="Times New Roman" w:hAnsi="Times New Roman" w:cs="Arial"/>
                <w:bCs/>
                <w:iCs/>
                <w:snapToGrid/>
                <w:sz w:val="22"/>
                <w:szCs w:val="22"/>
              </w:rPr>
            </w:pPr>
            <w:r w:rsidRPr="005C6DA1">
              <w:rPr>
                <w:rFonts w:ascii="Times New Roman" w:hAnsi="Times New Roman" w:cs="Arial"/>
                <w:bCs/>
                <w:iCs/>
                <w:snapToGrid/>
                <w:sz w:val="22"/>
                <w:szCs w:val="22"/>
              </w:rPr>
              <w:t>Euros</w:t>
            </w:r>
            <w:r>
              <w:rPr>
                <w:rFonts w:ascii="Times New Roman" w:hAnsi="Times New Roman" w:cs="Arial"/>
                <w:bCs/>
                <w:iCs/>
                <w:snapToGrid/>
                <w:sz w:val="22"/>
                <w:szCs w:val="22"/>
              </w:rPr>
              <w:t xml:space="preserve"> </w:t>
            </w:r>
            <w:r w:rsidR="00A57D6C">
              <w:rPr>
                <w:rFonts w:ascii="Times New Roman" w:hAnsi="Times New Roman" w:cs="Arial"/>
                <w:bCs/>
                <w:iCs/>
                <w:snapToGrid/>
                <w:sz w:val="22"/>
                <w:szCs w:val="22"/>
              </w:rPr>
              <w:t>730.00</w:t>
            </w:r>
          </w:p>
        </w:tc>
      </w:tr>
      <w:tr w:rsidR="00655336" w:rsidRPr="005C6DA1" w14:paraId="6DC489ED" w14:textId="77777777" w:rsidTr="00D9543F">
        <w:trPr>
          <w:trHeight w:val="248"/>
        </w:trPr>
        <w:tc>
          <w:tcPr>
            <w:tcW w:w="993" w:type="dxa"/>
          </w:tcPr>
          <w:p w14:paraId="40373504" w14:textId="77777777" w:rsidR="00655336" w:rsidRPr="005C6DA1" w:rsidRDefault="00655336" w:rsidP="00D9543F">
            <w:pPr>
              <w:spacing w:before="0" w:after="0"/>
              <w:jc w:val="both"/>
              <w:outlineLvl w:val="1"/>
              <w:rPr>
                <w:rFonts w:ascii="Times New Roman" w:hAnsi="Times New Roman" w:cs="Arial"/>
                <w:bCs/>
                <w:iCs/>
                <w:snapToGrid/>
                <w:sz w:val="22"/>
                <w:szCs w:val="22"/>
              </w:rPr>
            </w:pPr>
            <w:r w:rsidRPr="005C6DA1">
              <w:rPr>
                <w:rFonts w:ascii="Times New Roman" w:hAnsi="Times New Roman" w:cs="Arial"/>
                <w:bCs/>
                <w:iCs/>
                <w:snapToGrid/>
                <w:sz w:val="22"/>
                <w:szCs w:val="22"/>
              </w:rPr>
              <w:t>Lot 2</w:t>
            </w:r>
          </w:p>
        </w:tc>
        <w:tc>
          <w:tcPr>
            <w:tcW w:w="4190" w:type="dxa"/>
          </w:tcPr>
          <w:p w14:paraId="20F9A888" w14:textId="77777777" w:rsidR="00655336" w:rsidRPr="005C6DA1" w:rsidRDefault="00655336" w:rsidP="00D9543F">
            <w:pPr>
              <w:spacing w:before="0" w:after="0"/>
              <w:jc w:val="center"/>
              <w:outlineLvl w:val="0"/>
              <w:rPr>
                <w:rFonts w:ascii="Times New Roman" w:hAnsi="Times New Roman"/>
                <w:bCs/>
                <w:snapToGrid/>
                <w:sz w:val="22"/>
                <w:szCs w:val="22"/>
                <w:lang w:val="en-US"/>
              </w:rPr>
            </w:pPr>
            <w:r>
              <w:rPr>
                <w:rFonts w:ascii="Times New Roman" w:hAnsi="Times New Roman"/>
                <w:bCs/>
                <w:snapToGrid/>
                <w:sz w:val="22"/>
                <w:szCs w:val="22"/>
                <w:lang w:val="en-US"/>
              </w:rPr>
              <w:t>Medical Products</w:t>
            </w:r>
          </w:p>
        </w:tc>
        <w:tc>
          <w:tcPr>
            <w:tcW w:w="2181" w:type="dxa"/>
          </w:tcPr>
          <w:p w14:paraId="24C32739" w14:textId="51582658" w:rsidR="00655336" w:rsidRPr="005C6DA1" w:rsidRDefault="00655336" w:rsidP="00D9543F">
            <w:pPr>
              <w:spacing w:before="0" w:after="0"/>
              <w:outlineLvl w:val="1"/>
              <w:rPr>
                <w:rFonts w:ascii="Times New Roman" w:hAnsi="Times New Roman" w:cs="Arial"/>
                <w:bCs/>
                <w:iCs/>
                <w:snapToGrid/>
                <w:sz w:val="22"/>
                <w:szCs w:val="22"/>
              </w:rPr>
            </w:pPr>
            <w:r>
              <w:rPr>
                <w:rFonts w:ascii="Times New Roman" w:hAnsi="Times New Roman" w:cs="Arial"/>
                <w:bCs/>
                <w:iCs/>
                <w:snapToGrid/>
                <w:sz w:val="22"/>
                <w:szCs w:val="22"/>
              </w:rPr>
              <w:t xml:space="preserve">Euros </w:t>
            </w:r>
            <w:r w:rsidR="00A57D6C">
              <w:rPr>
                <w:rFonts w:ascii="Times New Roman" w:hAnsi="Times New Roman" w:cs="Arial"/>
                <w:bCs/>
                <w:iCs/>
                <w:snapToGrid/>
                <w:sz w:val="22"/>
                <w:szCs w:val="22"/>
              </w:rPr>
              <w:t>920.00</w:t>
            </w:r>
          </w:p>
        </w:tc>
      </w:tr>
    </w:tbl>
    <w:p w14:paraId="3DC896ED" w14:textId="0B4F502B" w:rsidR="00482933" w:rsidRDefault="0047783A" w:rsidP="00D45256">
      <w:pPr>
        <w:pStyle w:val="Text1"/>
        <w:numPr>
          <w:ilvl w:val="0"/>
          <w:numId w:val="36"/>
        </w:numPr>
        <w:ind w:left="1134" w:hanging="425"/>
        <w:rPr>
          <w:sz w:val="22"/>
        </w:rPr>
      </w:pPr>
      <w:r w:rsidRPr="00E82463">
        <w:rPr>
          <w:sz w:val="22"/>
        </w:rPr>
        <w:t xml:space="preserve">The </w:t>
      </w:r>
      <w:r w:rsidR="0002493B">
        <w:rPr>
          <w:sz w:val="22"/>
        </w:rPr>
        <w:t>"</w:t>
      </w:r>
      <w:r w:rsidRPr="00655336">
        <w:rPr>
          <w:b/>
          <w:bCs/>
          <w:sz w:val="22"/>
        </w:rPr>
        <w:t xml:space="preserve">Tender </w:t>
      </w:r>
      <w:r w:rsidR="005C1201" w:rsidRPr="00655336">
        <w:rPr>
          <w:b/>
          <w:bCs/>
          <w:sz w:val="22"/>
        </w:rPr>
        <w:t>f</w:t>
      </w:r>
      <w:r w:rsidRPr="00655336">
        <w:rPr>
          <w:b/>
          <w:bCs/>
          <w:sz w:val="22"/>
        </w:rPr>
        <w:t xml:space="preserve">orm for a </w:t>
      </w:r>
      <w:r w:rsidR="005C1201" w:rsidRPr="00655336">
        <w:rPr>
          <w:b/>
          <w:bCs/>
          <w:sz w:val="22"/>
        </w:rPr>
        <w:t>s</w:t>
      </w:r>
      <w:r w:rsidRPr="00655336">
        <w:rPr>
          <w:b/>
          <w:bCs/>
          <w:sz w:val="22"/>
        </w:rPr>
        <w:t xml:space="preserve">upply </w:t>
      </w:r>
      <w:r w:rsidR="005C1201" w:rsidRPr="00655336">
        <w:rPr>
          <w:b/>
          <w:bCs/>
          <w:sz w:val="22"/>
        </w:rPr>
        <w:t>c</w:t>
      </w:r>
      <w:r w:rsidRPr="00655336">
        <w:rPr>
          <w:b/>
          <w:bCs/>
          <w:sz w:val="22"/>
        </w:rPr>
        <w:t>ontract</w:t>
      </w:r>
      <w:r w:rsidR="0002493B">
        <w:rPr>
          <w:sz w:val="22"/>
        </w:rPr>
        <w:t>"</w:t>
      </w:r>
      <w:r w:rsidRPr="00E82463">
        <w:rPr>
          <w:sz w:val="22"/>
        </w:rPr>
        <w:t xml:space="preserve">, </w:t>
      </w:r>
      <w:r w:rsidR="007A0C47" w:rsidRPr="007A0C47">
        <w:rPr>
          <w:sz w:val="22"/>
        </w:rPr>
        <w:t xml:space="preserve">together with Annex 1 </w:t>
      </w:r>
      <w:r w:rsidR="0002493B" w:rsidRPr="001A2BC4">
        <w:rPr>
          <w:b/>
          <w:sz w:val="22"/>
        </w:rPr>
        <w:t>"</w:t>
      </w:r>
      <w:r w:rsidR="007A0C47" w:rsidRPr="001A2BC4">
        <w:rPr>
          <w:b/>
          <w:sz w:val="22"/>
        </w:rPr>
        <w:t>Declaration o</w:t>
      </w:r>
      <w:r w:rsidR="0002493B" w:rsidRPr="001A2BC4">
        <w:rPr>
          <w:b/>
          <w:sz w:val="22"/>
        </w:rPr>
        <w:t>n</w:t>
      </w:r>
      <w:r w:rsidR="007A0C47" w:rsidRPr="001A2BC4">
        <w:rPr>
          <w:b/>
          <w:sz w:val="22"/>
        </w:rPr>
        <w:t xml:space="preserve"> honour on exclusion criteria and selection criteria</w:t>
      </w:r>
      <w:r w:rsidR="0002493B" w:rsidRPr="001A2BC4">
        <w:rPr>
          <w:b/>
          <w:sz w:val="22"/>
        </w:rPr>
        <w:t>"</w:t>
      </w:r>
      <w:r w:rsidR="007A0C47" w:rsidRPr="007A0C47">
        <w:rPr>
          <w:sz w:val="22"/>
        </w:rPr>
        <w:t xml:space="preserve">, both </w:t>
      </w:r>
      <w:r w:rsidRPr="00E82463">
        <w:rPr>
          <w:sz w:val="22"/>
        </w:rPr>
        <w:t>duly completed, which includes the</w:t>
      </w:r>
      <w:r w:rsidR="00E45107">
        <w:rPr>
          <w:sz w:val="22"/>
          <w:u w:val="single"/>
        </w:rPr>
        <w:t xml:space="preserve"> </w:t>
      </w:r>
      <w:r w:rsidRPr="00E82463">
        <w:rPr>
          <w:sz w:val="22"/>
        </w:rPr>
        <w:t>tenderer’s declaration, point 7, (from each member if a consortium</w:t>
      </w:r>
      <w:r w:rsidR="00224EE3">
        <w:rPr>
          <w:sz w:val="22"/>
        </w:rPr>
        <w:t xml:space="preserve">, </w:t>
      </w:r>
      <w:r w:rsidR="00224EE3" w:rsidRPr="003D2AC3">
        <w:rPr>
          <w:sz w:val="22"/>
        </w:rPr>
        <w:t>(if any)</w:t>
      </w:r>
      <w:r w:rsidRPr="00E82463">
        <w:rPr>
          <w:sz w:val="22"/>
        </w:rPr>
        <w:t>)</w:t>
      </w:r>
      <w:r w:rsidR="00CC6A3F">
        <w:rPr>
          <w:sz w:val="22"/>
        </w:rPr>
        <w:t>.</w:t>
      </w:r>
    </w:p>
    <w:p w14:paraId="04F73D78" w14:textId="02DA6F1C" w:rsidR="006E12B0" w:rsidRDefault="006E12B0" w:rsidP="00D45256">
      <w:pPr>
        <w:pStyle w:val="Text1"/>
        <w:numPr>
          <w:ilvl w:val="0"/>
          <w:numId w:val="36"/>
        </w:numPr>
        <w:ind w:left="1134" w:hanging="425"/>
        <w:rPr>
          <w:sz w:val="22"/>
        </w:rPr>
      </w:pPr>
      <w:r w:rsidRPr="006E12B0">
        <w:rPr>
          <w:sz w:val="22"/>
        </w:rPr>
        <w:t>Signed originals of the Declaration on honourshall be submitted</w:t>
      </w:r>
      <w:r w:rsidR="00F035E0">
        <w:rPr>
          <w:sz w:val="22"/>
        </w:rPr>
        <w:t>.</w:t>
      </w:r>
    </w:p>
    <w:p w14:paraId="422BA777" w14:textId="716E6877" w:rsidR="00F035E0" w:rsidRDefault="00F035E0" w:rsidP="00D45256">
      <w:pPr>
        <w:pStyle w:val="Text1"/>
        <w:numPr>
          <w:ilvl w:val="0"/>
          <w:numId w:val="36"/>
        </w:numPr>
        <w:ind w:left="1134" w:hanging="425"/>
        <w:rPr>
          <w:sz w:val="22"/>
        </w:rPr>
      </w:pPr>
      <w:r w:rsidRPr="00F035E0">
        <w:rPr>
          <w:sz w:val="22"/>
        </w:rPr>
        <w:t>A completed identification form (see Annex V to the draft</w:t>
      </w:r>
      <w:r w:rsidR="002E0A62">
        <w:rPr>
          <w:sz w:val="22"/>
        </w:rPr>
        <w:t xml:space="preserve"> </w:t>
      </w:r>
      <w:r w:rsidRPr="00F035E0">
        <w:rPr>
          <w:sz w:val="22"/>
        </w:rPr>
        <w:t>contract) and supporting documents to the identification form.</w:t>
      </w:r>
    </w:p>
    <w:p w14:paraId="322A4B4C" w14:textId="77777777" w:rsidR="002E0A62" w:rsidRDefault="002E0A62" w:rsidP="0047783A">
      <w:pPr>
        <w:tabs>
          <w:tab w:val="left" w:pos="993"/>
        </w:tabs>
        <w:spacing w:after="0"/>
        <w:ind w:left="567"/>
        <w:rPr>
          <w:rFonts w:ascii="Times New Roman" w:hAnsi="Times New Roman"/>
          <w:sz w:val="22"/>
          <w:szCs w:val="22"/>
        </w:rPr>
      </w:pPr>
    </w:p>
    <w:p w14:paraId="1D79FA5B" w14:textId="77777777" w:rsidR="002E0A62" w:rsidRDefault="002E0A62" w:rsidP="0047783A">
      <w:pPr>
        <w:tabs>
          <w:tab w:val="left" w:pos="993"/>
        </w:tabs>
        <w:spacing w:after="0"/>
        <w:ind w:left="567"/>
        <w:rPr>
          <w:rFonts w:ascii="Times New Roman" w:hAnsi="Times New Roman"/>
          <w:sz w:val="22"/>
          <w:szCs w:val="22"/>
        </w:rPr>
      </w:pPr>
    </w:p>
    <w:p w14:paraId="25AD8BB5" w14:textId="1B977BED"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lastRenderedPageBreak/>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2E0A62" w:rsidRDefault="0047783A" w:rsidP="002E0A62">
      <w:pPr>
        <w:pStyle w:val="Text1"/>
        <w:numPr>
          <w:ilvl w:val="0"/>
          <w:numId w:val="36"/>
        </w:numPr>
        <w:shd w:val="clear" w:color="auto" w:fill="FFFFFF" w:themeFill="background1"/>
        <w:ind w:left="1134" w:hanging="425"/>
        <w:rPr>
          <w:sz w:val="22"/>
        </w:rPr>
      </w:pPr>
      <w:r w:rsidRPr="002E0A62">
        <w:rPr>
          <w:sz w:val="22"/>
        </w:rPr>
        <w:t xml:space="preserve">A description of the warranty conditions, which must be in accordance with the conditions laid down in Article 32 of the </w:t>
      </w:r>
      <w:r w:rsidR="005C1201" w:rsidRPr="002E0A62">
        <w:rPr>
          <w:sz w:val="22"/>
        </w:rPr>
        <w:t>g</w:t>
      </w:r>
      <w:r w:rsidRPr="002E0A62">
        <w:rPr>
          <w:sz w:val="22"/>
        </w:rPr>
        <w:t xml:space="preserve">eneral </w:t>
      </w:r>
      <w:r w:rsidR="005C1201" w:rsidRPr="002E0A62">
        <w:rPr>
          <w:sz w:val="22"/>
        </w:rPr>
        <w:t>c</w:t>
      </w:r>
      <w:r w:rsidRPr="002E0A62">
        <w:rPr>
          <w:sz w:val="22"/>
        </w:rPr>
        <w:t>onditions</w:t>
      </w:r>
      <w:r w:rsidRPr="002E0A62">
        <w:rPr>
          <w:color w:val="339966"/>
          <w:sz w:val="22"/>
          <w:u w:val="single"/>
        </w:rPr>
        <w:t>.</w:t>
      </w:r>
    </w:p>
    <w:p w14:paraId="4D0B043C" w14:textId="5ABFE1A9" w:rsidR="0047783A" w:rsidRPr="002E0A62" w:rsidRDefault="0047783A" w:rsidP="002E0A62">
      <w:pPr>
        <w:pStyle w:val="Text1"/>
        <w:numPr>
          <w:ilvl w:val="0"/>
          <w:numId w:val="36"/>
        </w:numPr>
        <w:shd w:val="clear" w:color="auto" w:fill="FFFFFF" w:themeFill="background1"/>
        <w:ind w:left="1134" w:hanging="425"/>
        <w:rPr>
          <w:sz w:val="22"/>
        </w:rPr>
      </w:pPr>
      <w:r w:rsidRPr="002E0A62">
        <w:rPr>
          <w:sz w:val="22"/>
        </w:rPr>
        <w:t xml:space="preserve"> </w:t>
      </w:r>
      <w:r w:rsidRPr="00800725">
        <w:rPr>
          <w:sz w:val="22"/>
          <w:shd w:val="clear" w:color="auto" w:fill="FFFFFF" w:themeFill="background1"/>
        </w:rPr>
        <w:t xml:space="preserve">A description of the organisation of the commercial warranty tendered in accordance with the conditions laid down in Article 32 of the </w:t>
      </w:r>
      <w:r w:rsidR="005C1201" w:rsidRPr="00800725">
        <w:rPr>
          <w:sz w:val="22"/>
          <w:shd w:val="clear" w:color="auto" w:fill="FFFFFF" w:themeFill="background1"/>
        </w:rPr>
        <w:t>s</w:t>
      </w:r>
      <w:r w:rsidRPr="00800725">
        <w:rPr>
          <w:sz w:val="22"/>
          <w:shd w:val="clear" w:color="auto" w:fill="FFFFFF" w:themeFill="background1"/>
        </w:rPr>
        <w:t xml:space="preserve">pecial </w:t>
      </w:r>
      <w:r w:rsidR="005C1201" w:rsidRPr="00800725">
        <w:rPr>
          <w:sz w:val="22"/>
          <w:shd w:val="clear" w:color="auto" w:fill="FFFFFF" w:themeFill="background1"/>
        </w:rPr>
        <w:t>c</w:t>
      </w:r>
      <w:r w:rsidRPr="00800725">
        <w:rPr>
          <w:sz w:val="22"/>
          <w:shd w:val="clear" w:color="auto" w:fill="FFFFFF" w:themeFill="background1"/>
        </w:rPr>
        <w:t>onditions</w:t>
      </w:r>
    </w:p>
    <w:p w14:paraId="497EF612" w14:textId="77777777" w:rsidR="0047783A" w:rsidRPr="00E82463" w:rsidRDefault="0047783A" w:rsidP="002E0A62">
      <w:pPr>
        <w:pStyle w:val="Text1"/>
        <w:numPr>
          <w:ilvl w:val="0"/>
          <w:numId w:val="36"/>
        </w:numPr>
        <w:shd w:val="clear" w:color="auto" w:fill="FFFFFF" w:themeFill="background1"/>
        <w:ind w:left="1134" w:hanging="425"/>
        <w:rPr>
          <w:sz w:val="22"/>
        </w:rPr>
      </w:pPr>
      <w:r w:rsidRPr="00E82463">
        <w:rPr>
          <w:sz w:val="22"/>
        </w:rPr>
        <w:t>Duly authorised signature: an official document (statutes, power of attorney, notary statement, etc.) proving that the person who signs on behalf of the company</w:t>
      </w:r>
      <w:r w:rsidR="000D66C0">
        <w:rPr>
          <w:sz w:val="22"/>
        </w:rPr>
        <w:t xml:space="preserve">, </w:t>
      </w:r>
      <w:r w:rsidRPr="00E82463">
        <w:rPr>
          <w:sz w:val="22"/>
        </w:rPr>
        <w:t>joint venture</w:t>
      </w:r>
      <w:r w:rsidR="000D66C0">
        <w:rPr>
          <w:sz w:val="22"/>
        </w:rPr>
        <w:t xml:space="preserve"> or </w:t>
      </w:r>
      <w:r w:rsidRPr="00E82463">
        <w:rPr>
          <w:sz w:val="22"/>
        </w:rPr>
        <w:t>consortium is duly authorised to do so.</w:t>
      </w:r>
    </w:p>
    <w:p w14:paraId="5F7151C5" w14:textId="77777777" w:rsidR="0047783A" w:rsidRPr="00E82463" w:rsidRDefault="0047783A" w:rsidP="002E0A62">
      <w:pPr>
        <w:shd w:val="clear" w:color="auto" w:fill="FFFFFF" w:themeFill="background1"/>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74512FFE"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14:paraId="0BA05E29" w14:textId="6746AD34" w:rsidR="0047783A" w:rsidRPr="00D45256" w:rsidRDefault="00A633C6" w:rsidP="00D45256">
      <w:pPr>
        <w:pStyle w:val="Heading1"/>
        <w:rPr>
          <w:lang w:val="en-IE"/>
        </w:rPr>
      </w:pPr>
      <w:bookmarkStart w:id="24" w:name="_Toc42488081"/>
      <w:r w:rsidRPr="00D45256">
        <w:rPr>
          <w:lang w:val="en-IE"/>
        </w:rPr>
        <w:t>12.</w:t>
      </w:r>
      <w:r w:rsidR="005A3D33" w:rsidRPr="00D45256">
        <w:rPr>
          <w:lang w:val="en-IE"/>
        </w:rPr>
        <w:tab/>
      </w:r>
      <w:r w:rsidR="0047783A" w:rsidRPr="00D45256">
        <w:rPr>
          <w:lang w:val="en-IE"/>
        </w:rPr>
        <w:t xml:space="preserve">Taxes and </w:t>
      </w:r>
      <w:r w:rsidR="0047783A" w:rsidRPr="00D45256">
        <w:rPr>
          <w:lang w:val="en-GB"/>
        </w:rPr>
        <w:t>other</w:t>
      </w:r>
      <w:r w:rsidR="0047783A" w:rsidRPr="00D45256">
        <w:rPr>
          <w:lang w:val="en-IE"/>
        </w:rPr>
        <w:t xml:space="preserve"> charges</w:t>
      </w:r>
      <w:bookmarkEnd w:id="24"/>
    </w:p>
    <w:p w14:paraId="224901BF"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406DB0A3" w14:textId="77777777" w:rsidR="00655336" w:rsidRPr="00875B6A" w:rsidRDefault="00655336" w:rsidP="00655336">
      <w:pPr>
        <w:pStyle w:val="Heading2"/>
        <w:keepNext w:val="0"/>
        <w:widowControl w:val="0"/>
        <w:ind w:left="567"/>
        <w:jc w:val="both"/>
        <w:rPr>
          <w:rFonts w:ascii="Times New Roman" w:hAnsi="Times New Roman"/>
          <w:sz w:val="22"/>
          <w:lang w:val="en-GB"/>
        </w:rPr>
      </w:pPr>
      <w:bookmarkStart w:id="25" w:name="_Toc42488082"/>
      <w:r w:rsidRPr="00875B6A">
        <w:rPr>
          <w:rFonts w:ascii="Times New Roman" w:hAnsi="Times New Roman"/>
          <w:sz w:val="22"/>
          <w:lang w:val="en-GB"/>
        </w:rPr>
        <w:t>For supplies manufactured locally, all internal fiscal charges applicable to their manufacture, including VAT, shall be excluded.</w:t>
      </w:r>
    </w:p>
    <w:p w14:paraId="4B1E3DF2" w14:textId="77777777" w:rsidR="00655336" w:rsidRPr="00875B6A" w:rsidRDefault="00655336" w:rsidP="0065533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to be imported into the country of the Contracting Authority, all duties and taxes applicable to their importation, including VAT shall be excluded.</w:t>
      </w:r>
    </w:p>
    <w:p w14:paraId="623B59DC" w14:textId="77777777" w:rsidR="00655336" w:rsidRPr="00875B6A" w:rsidRDefault="00655336" w:rsidP="0065533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Whatever the origin of the supplies, the contract shall be exempt from stamp and registration duties.</w:t>
      </w:r>
    </w:p>
    <w:p w14:paraId="09EA0EDD" w14:textId="1D6F9E40" w:rsidR="0047783A" w:rsidRPr="00D45256" w:rsidRDefault="00A633C6" w:rsidP="00D45256">
      <w:pPr>
        <w:pStyle w:val="Heading1"/>
        <w:rPr>
          <w:lang w:val="en-IE"/>
        </w:rPr>
      </w:pPr>
      <w:r w:rsidRPr="00D45256">
        <w:rPr>
          <w:lang w:val="en-IE"/>
        </w:rPr>
        <w:t>13.</w:t>
      </w:r>
      <w:r w:rsidR="005A3D33" w:rsidRPr="00D45256">
        <w:rPr>
          <w:lang w:val="en-IE"/>
        </w:rPr>
        <w:tab/>
      </w:r>
      <w:r w:rsidR="0047783A" w:rsidRPr="00D45256">
        <w:rPr>
          <w:lang w:val="en-IE"/>
        </w:rPr>
        <w:t>Additional information before the deadline for submission of tenders</w:t>
      </w:r>
      <w:bookmarkEnd w:id="25"/>
    </w:p>
    <w:p w14:paraId="51A1D679" w14:textId="5E16C87A" w:rsidR="0047783A" w:rsidRDefault="0047783A" w:rsidP="00767390">
      <w:pPr>
        <w:ind w:left="567"/>
        <w:jc w:val="both"/>
        <w:rPr>
          <w:rFonts w:ascii="Times New Roman" w:hAnsi="Times New Roman"/>
          <w:sz w:val="22"/>
        </w:rPr>
      </w:pPr>
      <w:r w:rsidRPr="00E82463">
        <w:rPr>
          <w:rFonts w:ascii="Times New Roman" w:hAnsi="Times New Roman"/>
          <w:sz w:val="22"/>
        </w:rPr>
        <w:t xml:space="preserve">The tender dossier should be 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7668BC3E" w14:textId="3B95D551" w:rsidR="000B7CA0" w:rsidRDefault="0077201B" w:rsidP="000B7CA0">
      <w:pPr>
        <w:keepNext/>
        <w:ind w:left="567"/>
        <w:jc w:val="both"/>
        <w:rPr>
          <w:rFonts w:ascii="Times New Roman" w:hAnsi="Times New Roman"/>
          <w:sz w:val="22"/>
          <w:szCs w:val="22"/>
        </w:rPr>
      </w:pPr>
      <w:r w:rsidRPr="00655336">
        <w:rPr>
          <w:rFonts w:ascii="Times New Roman" w:hAnsi="Times New Roman"/>
          <w:sz w:val="22"/>
          <w:szCs w:val="22"/>
        </w:rPr>
        <w:t>Tenderers may submit questions in writing to the following address up to</w:t>
      </w:r>
      <w:r w:rsidR="004A25BD" w:rsidRPr="00655336">
        <w:rPr>
          <w:rFonts w:ascii="Times New Roman" w:hAnsi="Times New Roman"/>
          <w:sz w:val="22"/>
          <w:szCs w:val="22"/>
        </w:rPr>
        <w:t>21 days</w:t>
      </w:r>
      <w:r w:rsidR="00655336" w:rsidRPr="00655336">
        <w:rPr>
          <w:rFonts w:ascii="Times New Roman" w:hAnsi="Times New Roman"/>
          <w:sz w:val="22"/>
          <w:szCs w:val="22"/>
        </w:rPr>
        <w:t xml:space="preserve"> </w:t>
      </w:r>
      <w:r w:rsidRPr="00655336">
        <w:rPr>
          <w:rFonts w:ascii="Times New Roman" w:hAnsi="Times New Roman"/>
          <w:sz w:val="22"/>
          <w:szCs w:val="22"/>
        </w:rPr>
        <w:t>before the deadline for submission of tenders, specifying the publication reference and the contract title:</w:t>
      </w:r>
    </w:p>
    <w:p w14:paraId="7BDD3A04" w14:textId="77777777" w:rsidR="000B7CA0" w:rsidRDefault="000B7CA0" w:rsidP="000B7CA0">
      <w:pPr>
        <w:keepNext/>
        <w:ind w:left="567"/>
        <w:jc w:val="both"/>
        <w:rPr>
          <w:rFonts w:ascii="Times New Roman" w:hAnsi="Times New Roman"/>
          <w:sz w:val="22"/>
          <w:szCs w:val="22"/>
        </w:rPr>
      </w:pPr>
    </w:p>
    <w:p w14:paraId="5C8C9CC0" w14:textId="77777777" w:rsidR="000B7CA0" w:rsidRPr="00920825" w:rsidRDefault="000B7CA0" w:rsidP="000B7CA0">
      <w:pPr>
        <w:pStyle w:val="BodyText"/>
        <w:spacing w:before="0" w:after="0" w:line="276" w:lineRule="auto"/>
        <w:ind w:left="360"/>
        <w:jc w:val="center"/>
        <w:rPr>
          <w:rFonts w:ascii="Times New Roman" w:hAnsi="Times New Roman"/>
          <w:b/>
          <w:sz w:val="22"/>
          <w:szCs w:val="22"/>
          <w:lang w:val="fr-FR"/>
        </w:rPr>
      </w:pPr>
      <w:r w:rsidRPr="00920825">
        <w:rPr>
          <w:rFonts w:ascii="Times New Roman" w:hAnsi="Times New Roman"/>
          <w:b/>
          <w:sz w:val="22"/>
          <w:szCs w:val="22"/>
          <w:lang w:val="fr-FR"/>
        </w:rPr>
        <w:t>EULEX Kosovo – Procurement Section</w:t>
      </w:r>
    </w:p>
    <w:p w14:paraId="19664AC4" w14:textId="77777777" w:rsidR="000B7CA0" w:rsidRPr="00920825" w:rsidRDefault="000B7CA0" w:rsidP="000B7CA0">
      <w:pPr>
        <w:pStyle w:val="BodyText"/>
        <w:spacing w:before="0" w:after="0" w:line="276" w:lineRule="auto"/>
        <w:ind w:left="360"/>
        <w:jc w:val="center"/>
        <w:rPr>
          <w:rFonts w:ascii="Times New Roman" w:hAnsi="Times New Roman"/>
          <w:b/>
          <w:sz w:val="22"/>
          <w:szCs w:val="22"/>
          <w:lang w:val="fr-FR"/>
        </w:rPr>
      </w:pPr>
      <w:bookmarkStart w:id="26" w:name="_Hlk162011001"/>
      <w:r w:rsidRPr="00920825">
        <w:rPr>
          <w:rFonts w:ascii="Times New Roman" w:hAnsi="Times New Roman"/>
          <w:b/>
          <w:sz w:val="22"/>
          <w:szCs w:val="22"/>
          <w:lang w:val="fr-FR"/>
        </w:rPr>
        <w:t>Industrial Zone, St. Lidhja e Pejes P.O.Box 268</w:t>
      </w:r>
      <w:bookmarkEnd w:id="26"/>
      <w:r w:rsidRPr="00920825">
        <w:rPr>
          <w:rFonts w:ascii="Times New Roman" w:hAnsi="Times New Roman"/>
          <w:b/>
          <w:sz w:val="22"/>
          <w:szCs w:val="22"/>
          <w:lang w:val="fr-FR"/>
        </w:rPr>
        <w:t xml:space="preserve">, </w:t>
      </w:r>
    </w:p>
    <w:p w14:paraId="044F12F4" w14:textId="77777777" w:rsidR="000B7CA0" w:rsidRPr="00920825" w:rsidRDefault="000B7CA0" w:rsidP="000B7CA0">
      <w:pPr>
        <w:pStyle w:val="BodyText"/>
        <w:spacing w:before="0" w:after="0" w:line="276" w:lineRule="auto"/>
        <w:ind w:left="360"/>
        <w:jc w:val="center"/>
        <w:rPr>
          <w:rFonts w:ascii="Times New Roman" w:hAnsi="Times New Roman"/>
          <w:b/>
          <w:sz w:val="22"/>
          <w:szCs w:val="22"/>
          <w:lang w:val="pt-BR"/>
        </w:rPr>
      </w:pPr>
      <w:r w:rsidRPr="00920825">
        <w:rPr>
          <w:rFonts w:ascii="Times New Roman" w:hAnsi="Times New Roman"/>
          <w:b/>
          <w:sz w:val="22"/>
          <w:szCs w:val="22"/>
          <w:lang w:val="pt-BR"/>
        </w:rPr>
        <w:t>10000 Pristina, Kosovo</w:t>
      </w:r>
    </w:p>
    <w:p w14:paraId="6896D4A2" w14:textId="77777777" w:rsidR="000B7CA0" w:rsidRPr="00920825" w:rsidRDefault="000B7CA0" w:rsidP="000B7CA0">
      <w:pPr>
        <w:spacing w:before="0" w:after="0" w:line="276" w:lineRule="auto"/>
        <w:ind w:left="567"/>
        <w:jc w:val="center"/>
        <w:rPr>
          <w:rFonts w:ascii="Times New Roman" w:hAnsi="Times New Roman"/>
          <w:b/>
          <w:color w:val="0000FF"/>
          <w:sz w:val="22"/>
          <w:szCs w:val="22"/>
          <w:u w:val="single"/>
          <w:lang w:val="pt-BR"/>
        </w:rPr>
      </w:pPr>
      <w:r w:rsidRPr="00920825">
        <w:rPr>
          <w:rFonts w:ascii="Times New Roman" w:hAnsi="Times New Roman"/>
          <w:b/>
          <w:sz w:val="22"/>
          <w:szCs w:val="22"/>
          <w:lang w:val="pt-BR"/>
        </w:rPr>
        <w:t xml:space="preserve">E-mail: </w:t>
      </w:r>
      <w:hyperlink r:id="rId10" w:history="1">
        <w:r w:rsidRPr="00920825">
          <w:rPr>
            <w:rFonts w:ascii="Times New Roman" w:hAnsi="Times New Roman"/>
            <w:b/>
            <w:color w:val="0000FF"/>
            <w:sz w:val="22"/>
            <w:szCs w:val="22"/>
            <w:u w:val="single"/>
            <w:lang w:val="pt-BR"/>
          </w:rPr>
          <w:t>tenders@eulex-kosovo.eu</w:t>
        </w:r>
      </w:hyperlink>
    </w:p>
    <w:p w14:paraId="233C6383" w14:textId="77777777" w:rsidR="000B7CA0" w:rsidRPr="00920825" w:rsidRDefault="000B7CA0" w:rsidP="000B7CA0">
      <w:pPr>
        <w:spacing w:before="0" w:after="0" w:line="276" w:lineRule="auto"/>
        <w:jc w:val="both"/>
        <w:rPr>
          <w:rFonts w:ascii="Times New Roman" w:hAnsi="Times New Roman"/>
          <w:sz w:val="22"/>
          <w:szCs w:val="22"/>
          <w:lang w:val="pt-BR"/>
        </w:rPr>
      </w:pPr>
    </w:p>
    <w:p w14:paraId="5EC25581" w14:textId="4E427179" w:rsidR="000B7CA0" w:rsidRPr="000B7CA0" w:rsidRDefault="000B7CA0" w:rsidP="000B7CA0">
      <w:pPr>
        <w:pStyle w:val="BodyText"/>
        <w:ind w:left="567"/>
        <w:jc w:val="both"/>
        <w:rPr>
          <w:rFonts w:ascii="Times New Roman" w:hAnsi="Times New Roman"/>
          <w:sz w:val="22"/>
        </w:rPr>
      </w:pPr>
      <w:r w:rsidRPr="000B7CA0">
        <w:rPr>
          <w:rFonts w:ascii="Times New Roman" w:hAnsi="Times New Roman"/>
          <w:sz w:val="22"/>
        </w:rPr>
        <w:t xml:space="preserve">Any clarification of the tender dossier will be published on EULEX Website: </w:t>
      </w:r>
      <w:hyperlink r:id="rId11" w:history="1">
        <w:r w:rsidRPr="00993A7A">
          <w:rPr>
            <w:rStyle w:val="Hyperlink"/>
            <w:rFonts w:ascii="Times New Roman" w:hAnsi="Times New Roman"/>
            <w:sz w:val="22"/>
            <w:szCs w:val="22"/>
          </w:rPr>
          <w:t>https://www.eulex-kosovo.eu/?page=2,6</w:t>
        </w:r>
      </w:hyperlink>
      <w:r w:rsidRPr="000B7CA0">
        <w:rPr>
          <w:rFonts w:ascii="Times New Roman" w:hAnsi="Times New Roman"/>
          <w:sz w:val="22"/>
        </w:rPr>
        <w:t xml:space="preserve"> at the latest 8 days before the deadline for submitting tenders.</w:t>
      </w:r>
    </w:p>
    <w:p w14:paraId="5A6F00C2" w14:textId="77777777" w:rsidR="0047783A" w:rsidRPr="00E82463" w:rsidRDefault="0047783A" w:rsidP="00767390">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65EB5509" w:rsidR="0047783A" w:rsidRPr="00D45256" w:rsidRDefault="00A633C6" w:rsidP="00D45256">
      <w:pPr>
        <w:pStyle w:val="Heading1"/>
        <w:rPr>
          <w:lang w:val="en-IE"/>
        </w:rPr>
      </w:pPr>
      <w:bookmarkStart w:id="27" w:name="_Toc42488083"/>
      <w:r w:rsidRPr="00D45256">
        <w:rPr>
          <w:lang w:val="en-IE"/>
        </w:rPr>
        <w:lastRenderedPageBreak/>
        <w:t>14.</w:t>
      </w:r>
      <w:r w:rsidR="005A3D33" w:rsidRPr="00D45256">
        <w:rPr>
          <w:lang w:val="en-IE"/>
        </w:rPr>
        <w:tab/>
      </w:r>
      <w:r w:rsidR="0047783A" w:rsidRPr="00D45256">
        <w:rPr>
          <w:lang w:val="en-IE"/>
        </w:rPr>
        <w:t>Clarification meeting / site visit</w:t>
      </w:r>
      <w:bookmarkEnd w:id="27"/>
    </w:p>
    <w:p w14:paraId="4B2DAFE3" w14:textId="36B2BEE9" w:rsidR="0047783A" w:rsidRPr="000B7CA0" w:rsidRDefault="0047783A" w:rsidP="00AC07D4">
      <w:pPr>
        <w:pStyle w:val="BodyText"/>
        <w:ind w:left="567" w:hanging="567"/>
        <w:rPr>
          <w:rFonts w:ascii="Times New Roman" w:hAnsi="Times New Roman"/>
          <w:sz w:val="22"/>
          <w:szCs w:val="22"/>
        </w:rPr>
      </w:pPr>
      <w:r w:rsidRPr="000B7CA0">
        <w:rPr>
          <w:rFonts w:ascii="Times New Roman" w:hAnsi="Times New Roman"/>
          <w:sz w:val="22"/>
          <w:szCs w:val="22"/>
        </w:rPr>
        <w:t>14.1</w:t>
      </w:r>
      <w:r w:rsidRPr="000B7CA0">
        <w:rPr>
          <w:rFonts w:ascii="Times New Roman" w:hAnsi="Times New Roman"/>
          <w:sz w:val="22"/>
          <w:szCs w:val="22"/>
        </w:rPr>
        <w:tab/>
        <w:t xml:space="preserve">No </w:t>
      </w:r>
      <w:r w:rsidR="00EC2910" w:rsidRPr="000B7CA0">
        <w:rPr>
          <w:rFonts w:ascii="Times New Roman" w:hAnsi="Times New Roman"/>
          <w:sz w:val="22"/>
          <w:szCs w:val="22"/>
        </w:rPr>
        <w:t xml:space="preserve">information </w:t>
      </w:r>
      <w:r w:rsidRPr="000B7CA0">
        <w:rPr>
          <w:rFonts w:ascii="Times New Roman" w:hAnsi="Times New Roman"/>
          <w:sz w:val="22"/>
          <w:szCs w:val="22"/>
        </w:rPr>
        <w:t>meeting / site visit planned. Visits by individual prospective tenderers during the tender period cannot be organised.</w:t>
      </w:r>
    </w:p>
    <w:p w14:paraId="6214904C" w14:textId="52B2B540" w:rsidR="0047783A" w:rsidRPr="00D45256" w:rsidRDefault="005A3D33" w:rsidP="00D45256">
      <w:pPr>
        <w:pStyle w:val="Heading1"/>
        <w:rPr>
          <w:lang w:val="en-IE"/>
        </w:rPr>
      </w:pPr>
      <w:bookmarkStart w:id="28" w:name="_Toc42488084"/>
      <w:r w:rsidRPr="00D45256">
        <w:rPr>
          <w:lang w:val="en-IE"/>
        </w:rPr>
        <w:t>15.</w:t>
      </w:r>
      <w:r w:rsidRPr="00D45256">
        <w:rPr>
          <w:lang w:val="en-IE"/>
        </w:rPr>
        <w:tab/>
      </w:r>
      <w:r w:rsidR="0047783A" w:rsidRPr="00D45256">
        <w:rPr>
          <w:lang w:val="en-IE"/>
        </w:rPr>
        <w:t>Alteration or withdrawal of tenders</w:t>
      </w:r>
      <w:bookmarkEnd w:id="28"/>
    </w:p>
    <w:p w14:paraId="31E0BA62" w14:textId="4352C689" w:rsidR="002F559C" w:rsidRPr="000B7CA0" w:rsidRDefault="0047783A" w:rsidP="000B7CA0">
      <w:pPr>
        <w:pStyle w:val="Heading2"/>
        <w:keepLines/>
        <w:ind w:left="567" w:hanging="567"/>
        <w:jc w:val="both"/>
        <w:rPr>
          <w:rFonts w:ascii="Times New Roman" w:hAnsi="Times New Roman"/>
          <w:sz w:val="22"/>
          <w:szCs w:val="22"/>
          <w:lang w:val="en-GB"/>
        </w:rPr>
      </w:pPr>
      <w:r w:rsidRPr="000B7CA0">
        <w:rPr>
          <w:rFonts w:ascii="Times New Roman" w:hAnsi="Times New Roman"/>
          <w:sz w:val="22"/>
          <w:lang w:val="en-GB"/>
        </w:rPr>
        <w:t>15.</w:t>
      </w:r>
      <w:r w:rsidR="002F559C" w:rsidRPr="000B7CA0">
        <w:rPr>
          <w:rFonts w:ascii="Times New Roman" w:hAnsi="Times New Roman"/>
          <w:sz w:val="22"/>
          <w:lang w:val="en-GB"/>
        </w:rPr>
        <w:t>1</w:t>
      </w:r>
      <w:r w:rsidRPr="000B7CA0">
        <w:rPr>
          <w:rFonts w:ascii="Times New Roman" w:hAnsi="Times New Roman"/>
          <w:sz w:val="22"/>
          <w:lang w:val="en-GB"/>
        </w:rPr>
        <w:tab/>
      </w:r>
      <w:r w:rsidR="002F559C" w:rsidRPr="000B7CA0">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0B7CA0">
        <w:rPr>
          <w:rFonts w:ascii="Times New Roman" w:hAnsi="Times New Roman"/>
          <w:sz w:val="22"/>
          <w:lang w:val="en-IE"/>
        </w:rPr>
        <w:t xml:space="preserve"> </w:t>
      </w:r>
    </w:p>
    <w:p w14:paraId="2F12C80F" w14:textId="59975F7E" w:rsidR="0047783A" w:rsidRPr="000B7CA0" w:rsidRDefault="0047783A" w:rsidP="009956B4">
      <w:pPr>
        <w:pStyle w:val="Heading2"/>
        <w:keepNext w:val="0"/>
        <w:ind w:left="567"/>
        <w:jc w:val="both"/>
        <w:rPr>
          <w:rFonts w:ascii="Times New Roman" w:hAnsi="Times New Roman"/>
          <w:sz w:val="22"/>
          <w:szCs w:val="22"/>
          <w:lang w:val="en-GB"/>
        </w:rPr>
      </w:pPr>
      <w:r w:rsidRPr="000B7CA0">
        <w:rPr>
          <w:rFonts w:ascii="Times New Roman" w:hAnsi="Times New Roman"/>
          <w:sz w:val="22"/>
          <w:szCs w:val="22"/>
          <w:lang w:val="en-GB"/>
        </w:rPr>
        <w:t xml:space="preserve">Any such notification of alteration or withdrawal must be prepared and submitted in accordance with </w:t>
      </w:r>
      <w:r w:rsidR="000C6C88" w:rsidRPr="000B7CA0">
        <w:rPr>
          <w:rFonts w:ascii="Times New Roman" w:hAnsi="Times New Roman"/>
          <w:sz w:val="22"/>
          <w:szCs w:val="22"/>
          <w:lang w:val="en-GB"/>
        </w:rPr>
        <w:t>Section 10</w:t>
      </w:r>
      <w:r w:rsidRPr="000B7CA0">
        <w:rPr>
          <w:rFonts w:ascii="Times New Roman" w:hAnsi="Times New Roman"/>
          <w:sz w:val="22"/>
          <w:szCs w:val="22"/>
          <w:lang w:val="en-GB"/>
        </w:rPr>
        <w:t xml:space="preserve">. The outer envelope must be marked </w:t>
      </w:r>
      <w:r w:rsidR="006A5F84" w:rsidRPr="000B7CA0">
        <w:rPr>
          <w:rFonts w:ascii="Times New Roman" w:hAnsi="Times New Roman"/>
          <w:sz w:val="22"/>
          <w:szCs w:val="22"/>
          <w:lang w:val="en-GB"/>
        </w:rPr>
        <w:t>‘</w:t>
      </w:r>
      <w:r w:rsidRPr="000B7CA0">
        <w:rPr>
          <w:rFonts w:ascii="Times New Roman" w:hAnsi="Times New Roman"/>
          <w:sz w:val="22"/>
          <w:szCs w:val="22"/>
          <w:lang w:val="en-GB"/>
        </w:rPr>
        <w:t>Alteration</w:t>
      </w:r>
      <w:r w:rsidR="006A5F84" w:rsidRPr="000B7CA0">
        <w:rPr>
          <w:rFonts w:ascii="Times New Roman" w:hAnsi="Times New Roman"/>
          <w:sz w:val="22"/>
          <w:szCs w:val="22"/>
          <w:lang w:val="en-GB"/>
        </w:rPr>
        <w:t>’</w:t>
      </w:r>
      <w:r w:rsidRPr="000B7CA0">
        <w:rPr>
          <w:rFonts w:ascii="Times New Roman" w:hAnsi="Times New Roman"/>
          <w:sz w:val="22"/>
          <w:szCs w:val="22"/>
          <w:lang w:val="en-GB"/>
        </w:rPr>
        <w:t xml:space="preserve"> or </w:t>
      </w:r>
      <w:r w:rsidR="006A5F84" w:rsidRPr="000B7CA0">
        <w:rPr>
          <w:rFonts w:ascii="Times New Roman" w:hAnsi="Times New Roman"/>
          <w:sz w:val="22"/>
          <w:szCs w:val="22"/>
          <w:lang w:val="en-GB"/>
        </w:rPr>
        <w:t>‘</w:t>
      </w:r>
      <w:r w:rsidRPr="000B7CA0">
        <w:rPr>
          <w:rFonts w:ascii="Times New Roman" w:hAnsi="Times New Roman"/>
          <w:sz w:val="22"/>
          <w:szCs w:val="22"/>
          <w:lang w:val="en-GB"/>
        </w:rPr>
        <w:t>Withdrawal</w:t>
      </w:r>
      <w:r w:rsidR="006A5F84" w:rsidRPr="000B7CA0">
        <w:rPr>
          <w:rFonts w:ascii="Times New Roman" w:hAnsi="Times New Roman"/>
          <w:sz w:val="22"/>
          <w:szCs w:val="22"/>
          <w:lang w:val="en-GB"/>
        </w:rPr>
        <w:t>’</w:t>
      </w:r>
      <w:r w:rsidRPr="000B7CA0">
        <w:rPr>
          <w:rFonts w:ascii="Times New Roman" w:hAnsi="Times New Roman"/>
          <w:sz w:val="22"/>
          <w:szCs w:val="22"/>
          <w:lang w:val="en-GB"/>
        </w:rPr>
        <w:t xml:space="preserve"> as appropriate.</w:t>
      </w:r>
    </w:p>
    <w:p w14:paraId="7E91B778" w14:textId="5BC51BF9" w:rsidR="0047783A" w:rsidRPr="00E82463" w:rsidRDefault="0047783A" w:rsidP="0047783A">
      <w:pPr>
        <w:pStyle w:val="Heading2"/>
        <w:keepNext w:val="0"/>
        <w:ind w:left="567" w:hanging="567"/>
        <w:jc w:val="both"/>
        <w:rPr>
          <w:rFonts w:ascii="Times New Roman" w:hAnsi="Times New Roman"/>
          <w:lang w:val="en-GB"/>
        </w:rPr>
      </w:pPr>
      <w:r w:rsidRPr="000B7CA0">
        <w:rPr>
          <w:rFonts w:ascii="Times New Roman" w:hAnsi="Times New Roman"/>
          <w:sz w:val="22"/>
          <w:lang w:val="en-GB"/>
        </w:rPr>
        <w:t>15.</w:t>
      </w:r>
      <w:r w:rsidR="002F559C" w:rsidRPr="000B7CA0">
        <w:rPr>
          <w:rFonts w:ascii="Times New Roman" w:hAnsi="Times New Roman"/>
          <w:sz w:val="22"/>
          <w:lang w:val="en-GB"/>
        </w:rPr>
        <w:t>2</w:t>
      </w:r>
      <w:r w:rsidRPr="000B7CA0">
        <w:rPr>
          <w:rFonts w:ascii="Times New Roman" w:hAnsi="Times New Roman"/>
          <w:sz w:val="22"/>
          <w:lang w:val="en-GB"/>
        </w:rPr>
        <w:tab/>
        <w:t>No tender may be withdrawn in the interval between the deadline for submission of tenders</w:t>
      </w:r>
      <w:r w:rsidR="00A93219" w:rsidRPr="000B7CA0">
        <w:rPr>
          <w:rFonts w:ascii="Times New Roman" w:hAnsi="Times New Roman"/>
          <w:sz w:val="22"/>
          <w:lang w:val="en-GB"/>
        </w:rPr>
        <w:t xml:space="preserve"> </w:t>
      </w:r>
      <w:r w:rsidRPr="000B7CA0">
        <w:rPr>
          <w:rFonts w:ascii="Times New Roman" w:hAnsi="Times New Roman"/>
          <w:sz w:val="22"/>
          <w:lang w:val="en-GB"/>
        </w:rPr>
        <w:t>and the expiry of the tender validity period. Withdrawal of a tender during this interval may result in forfeiture of the tender guarantee.</w:t>
      </w:r>
    </w:p>
    <w:p w14:paraId="3738767F" w14:textId="33CF11E0" w:rsidR="0047783A" w:rsidRPr="00D45256" w:rsidRDefault="00A633C6" w:rsidP="00D45256">
      <w:pPr>
        <w:pStyle w:val="Heading1"/>
        <w:rPr>
          <w:lang w:val="en-IE"/>
        </w:rPr>
      </w:pPr>
      <w:bookmarkStart w:id="29" w:name="_Toc42488085"/>
      <w:r w:rsidRPr="00D45256">
        <w:rPr>
          <w:lang w:val="en-IE"/>
        </w:rPr>
        <w:t>16.</w:t>
      </w:r>
      <w:r w:rsidR="005A3D33" w:rsidRPr="00D45256">
        <w:rPr>
          <w:lang w:val="en-IE"/>
        </w:rPr>
        <w:tab/>
      </w:r>
      <w:r w:rsidR="0047783A" w:rsidRPr="00D45256">
        <w:rPr>
          <w:lang w:val="en-IE"/>
        </w:rPr>
        <w:t>Costs of preparing tenders</w:t>
      </w:r>
      <w:bookmarkEnd w:id="29"/>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29ED7FDD" w:rsidR="0047783A" w:rsidRPr="00D45256" w:rsidRDefault="00A633C6" w:rsidP="00D45256">
      <w:pPr>
        <w:pStyle w:val="Heading1"/>
        <w:rPr>
          <w:lang w:val="en-IE"/>
        </w:rPr>
      </w:pPr>
      <w:r w:rsidRPr="00D45256">
        <w:rPr>
          <w:lang w:val="en-IE"/>
        </w:rPr>
        <w:t>17.</w:t>
      </w:r>
      <w:r w:rsidR="005A3D33" w:rsidRPr="00D45256">
        <w:rPr>
          <w:lang w:val="en-IE"/>
        </w:rPr>
        <w:tab/>
      </w:r>
      <w:bookmarkStart w:id="30" w:name="_Toc42488086"/>
      <w:r w:rsidR="0047783A" w:rsidRPr="00D45256">
        <w:rPr>
          <w:lang w:val="en-IE"/>
        </w:rPr>
        <w:t>Ownership of tenders</w:t>
      </w:r>
      <w:bookmarkEnd w:id="30"/>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174F11B0" w:rsidR="0047783A" w:rsidRPr="00D45256" w:rsidRDefault="00A633C6" w:rsidP="00D45256">
      <w:pPr>
        <w:pStyle w:val="Heading1"/>
        <w:rPr>
          <w:lang w:val="en-IE"/>
        </w:rPr>
      </w:pPr>
      <w:bookmarkStart w:id="31" w:name="_Toc42488087"/>
      <w:r w:rsidRPr="00D45256">
        <w:rPr>
          <w:lang w:val="en-IE"/>
        </w:rPr>
        <w:t>18.</w:t>
      </w:r>
      <w:r w:rsidR="005A3D33" w:rsidRPr="00D45256">
        <w:rPr>
          <w:lang w:val="en-IE"/>
        </w:rPr>
        <w:tab/>
      </w:r>
      <w:r w:rsidR="0047783A" w:rsidRPr="00D45256">
        <w:rPr>
          <w:lang w:val="en-IE"/>
        </w:rPr>
        <w:t>Joint venture or consortium</w:t>
      </w:r>
      <w:bookmarkEnd w:id="31"/>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4F663C9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w:t>
      </w:r>
    </w:p>
    <w:p w14:paraId="2F10EC9B" w14:textId="202F5AC7" w:rsidR="0047783A" w:rsidRPr="00D45256" w:rsidRDefault="00A633C6" w:rsidP="00D45256">
      <w:pPr>
        <w:pStyle w:val="Heading1"/>
        <w:rPr>
          <w:lang w:val="en-IE"/>
        </w:rPr>
      </w:pPr>
      <w:bookmarkStart w:id="32" w:name="_Toc42488088"/>
      <w:r w:rsidRPr="00D45256">
        <w:rPr>
          <w:lang w:val="en-IE"/>
        </w:rPr>
        <w:t>19.</w:t>
      </w:r>
      <w:r w:rsidR="00092841" w:rsidRPr="00D45256">
        <w:rPr>
          <w:lang w:val="en-IE"/>
        </w:rPr>
        <w:tab/>
      </w:r>
      <w:r w:rsidR="0047783A" w:rsidRPr="00D45256">
        <w:rPr>
          <w:lang w:val="en-IE"/>
        </w:rPr>
        <w:t>Opening of tenders</w:t>
      </w:r>
      <w:bookmarkEnd w:id="32"/>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2CA95355" w:rsidR="0000259F" w:rsidRDefault="0047783A" w:rsidP="0000259F">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19.2</w:t>
      </w:r>
      <w:r w:rsidRPr="00E82463">
        <w:rPr>
          <w:rFonts w:ascii="Times New Roman" w:hAnsi="Times New Roman"/>
          <w:sz w:val="22"/>
          <w:lang w:val="en-GB"/>
        </w:rPr>
        <w:tab/>
      </w:r>
      <w:r w:rsidR="000C6C88" w:rsidRPr="000B7CA0">
        <w:rPr>
          <w:rFonts w:ascii="Times New Roman" w:hAnsi="Times New Roman"/>
          <w:sz w:val="22"/>
          <w:lang w:val="en-GB"/>
        </w:rPr>
        <w:t>The d</w:t>
      </w:r>
      <w:r w:rsidR="0000259F" w:rsidRPr="000B7CA0">
        <w:rPr>
          <w:rFonts w:ascii="Times New Roman" w:hAnsi="Times New Roman"/>
          <w:sz w:val="22"/>
          <w:lang w:val="en-GB"/>
        </w:rPr>
        <w:t>ate and venue of the tender opening session</w:t>
      </w:r>
      <w:r w:rsidR="000C6C88" w:rsidRPr="000B7CA0">
        <w:rPr>
          <w:rFonts w:ascii="Times New Roman" w:hAnsi="Times New Roman"/>
          <w:sz w:val="22"/>
          <w:lang w:val="en-GB"/>
        </w:rPr>
        <w:t xml:space="preserve"> </w:t>
      </w:r>
      <w:r w:rsidR="00F42488" w:rsidRPr="000B7CA0">
        <w:rPr>
          <w:rFonts w:ascii="Times New Roman" w:hAnsi="Times New Roman"/>
          <w:sz w:val="22"/>
          <w:lang w:val="en-GB"/>
        </w:rPr>
        <w:t xml:space="preserve">are </w:t>
      </w:r>
      <w:r w:rsidR="000C6C88" w:rsidRPr="000B7CA0">
        <w:rPr>
          <w:rFonts w:ascii="Times New Roman" w:hAnsi="Times New Roman"/>
          <w:sz w:val="22"/>
          <w:lang w:val="en-GB"/>
        </w:rPr>
        <w:t>indicated in the Contract Notice.</w:t>
      </w:r>
    </w:p>
    <w:p w14:paraId="7BB2CFDF" w14:textId="77777777" w:rsidR="00F421B0" w:rsidRPr="00141DEB" w:rsidRDefault="00F421B0" w:rsidP="00F421B0">
      <w:pPr>
        <w:ind w:left="567"/>
        <w:jc w:val="both"/>
        <w:rPr>
          <w:rFonts w:ascii="Times New Roman" w:hAnsi="Times New Roman"/>
          <w:sz w:val="22"/>
          <w:szCs w:val="22"/>
        </w:rPr>
      </w:pPr>
      <w:r w:rsidRPr="00141DEB">
        <w:rPr>
          <w:rFonts w:ascii="Times New Roman" w:hAnsi="Times New Roman"/>
          <w:sz w:val="22"/>
          <w:szCs w:val="22"/>
        </w:rPr>
        <w:t xml:space="preserve">Tenderers wishing to attend the opening session, are required to send a request by email to </w:t>
      </w:r>
      <w:hyperlink r:id="rId12" w:history="1">
        <w:r w:rsidRPr="00141DEB">
          <w:rPr>
            <w:rStyle w:val="Hyperlink"/>
            <w:rFonts w:ascii="Times New Roman" w:hAnsi="Times New Roman"/>
            <w:color w:val="auto"/>
            <w:sz w:val="22"/>
            <w:szCs w:val="22"/>
          </w:rPr>
          <w:t>tenders@eulex-kosovo.eu</w:t>
        </w:r>
      </w:hyperlink>
      <w:r w:rsidRPr="00141DEB">
        <w:rPr>
          <w:rFonts w:ascii="Times New Roman" w:hAnsi="Times New Roman"/>
          <w:sz w:val="22"/>
          <w:szCs w:val="22"/>
        </w:rPr>
        <w:t xml:space="preserve"> no later than two working days before the scheduled start of the opening session. A maximum of two representatives per tender may attend. The representatives will receive an invitation to attend the opening session by email. This invitation will include the instructions on how to attend the opening.</w:t>
      </w:r>
    </w:p>
    <w:p w14:paraId="53EB2A2E" w14:textId="28CC6BE7" w:rsidR="0047783A" w:rsidRPr="000B7CA0" w:rsidRDefault="0047783A">
      <w:pPr>
        <w:pStyle w:val="Heading2"/>
        <w:keepNext w:val="0"/>
        <w:ind w:left="567"/>
        <w:jc w:val="both"/>
        <w:rPr>
          <w:rFonts w:ascii="Times New Roman" w:hAnsi="Times New Roman"/>
          <w:sz w:val="22"/>
          <w:lang w:val="en-GB"/>
        </w:rPr>
      </w:pPr>
      <w:r w:rsidRPr="000B7CA0">
        <w:rPr>
          <w:rFonts w:ascii="Times New Roman" w:hAnsi="Times New Roman"/>
          <w:sz w:val="22"/>
          <w:lang w:val="en-GB"/>
        </w:rPr>
        <w:t>The committee will draw up minutes of the meeting, which will be available on request.</w:t>
      </w:r>
    </w:p>
    <w:p w14:paraId="7FBE10F5" w14:textId="24268D8A" w:rsidR="00A5438F" w:rsidRPr="00FC6A15" w:rsidRDefault="00A5438F" w:rsidP="00FC6A15">
      <w:pPr>
        <w:ind w:left="567"/>
        <w:jc w:val="both"/>
        <w:rPr>
          <w:rFonts w:ascii="Times New Roman" w:hAnsi="Times New Roman"/>
          <w:sz w:val="22"/>
        </w:rPr>
      </w:pPr>
      <w:r w:rsidRPr="000B7CA0">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0B7CA0">
        <w:rPr>
          <w:rFonts w:ascii="Times New Roman" w:hAnsi="Times New Roman"/>
          <w:sz w:val="22"/>
        </w:rPr>
        <w:t>.</w:t>
      </w:r>
      <w:r w:rsidR="000C6C88" w:rsidDel="000C6C88">
        <w:rPr>
          <w:rFonts w:ascii="Times New Roman" w:hAnsi="Times New Roman"/>
          <w:sz w:val="22"/>
        </w:rPr>
        <w:t xml:space="preserve"> </w:t>
      </w:r>
    </w:p>
    <w:p w14:paraId="399D7693" w14:textId="77777777" w:rsidR="0047783A" w:rsidRPr="000B7CA0" w:rsidRDefault="0047783A" w:rsidP="001A2BC4">
      <w:pPr>
        <w:ind w:left="567" w:hanging="567"/>
        <w:jc w:val="both"/>
        <w:rPr>
          <w:rFonts w:ascii="Times New Roman" w:hAnsi="Times New Roman"/>
          <w:sz w:val="22"/>
        </w:rPr>
      </w:pPr>
      <w:r w:rsidRPr="000B7CA0">
        <w:rPr>
          <w:rFonts w:ascii="Times New Roman" w:hAnsi="Times New Roman"/>
          <w:sz w:val="22"/>
        </w:rPr>
        <w:t>19.3</w:t>
      </w:r>
      <w:r w:rsidRPr="000B7CA0">
        <w:rPr>
          <w:rFonts w:ascii="Times New Roman" w:hAnsi="Times New Roman"/>
          <w:sz w:val="22"/>
        </w:rPr>
        <w:tab/>
        <w:t>At the tender opening, the tenderers</w:t>
      </w:r>
      <w:r w:rsidR="006A5F84" w:rsidRPr="000B7CA0">
        <w:rPr>
          <w:rFonts w:ascii="Times New Roman" w:hAnsi="Times New Roman"/>
          <w:sz w:val="22"/>
        </w:rPr>
        <w:t>’</w:t>
      </w:r>
      <w:r w:rsidRPr="000B7CA0">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0B7CA0">
        <w:rPr>
          <w:rFonts w:ascii="Times New Roman" w:hAnsi="Times New Roman"/>
          <w:sz w:val="22"/>
        </w:rPr>
        <w:t>c</w:t>
      </w:r>
      <w:r w:rsidRPr="000B7CA0">
        <w:rPr>
          <w:rFonts w:ascii="Times New Roman" w:hAnsi="Times New Roman"/>
          <w:sz w:val="22"/>
        </w:rPr>
        <w:t xml:space="preserve">ontracting </w:t>
      </w:r>
      <w:r w:rsidR="00DD6678" w:rsidRPr="000B7CA0">
        <w:rPr>
          <w:rFonts w:ascii="Times New Roman" w:hAnsi="Times New Roman"/>
          <w:sz w:val="22"/>
        </w:rPr>
        <w:t>a</w:t>
      </w:r>
      <w:r w:rsidRPr="000B7CA0">
        <w:rPr>
          <w:rFonts w:ascii="Times New Roman" w:hAnsi="Times New Roman"/>
          <w:sz w:val="22"/>
        </w:rPr>
        <w:t>uthority may consider appropriate may be announced.</w:t>
      </w:r>
    </w:p>
    <w:p w14:paraId="68DAAAB5" w14:textId="54A6E231" w:rsidR="0047783A" w:rsidRPr="00E82463" w:rsidRDefault="0047783A" w:rsidP="0047783A">
      <w:pPr>
        <w:pStyle w:val="Heading2"/>
        <w:keepNext w:val="0"/>
        <w:ind w:left="567" w:hanging="567"/>
        <w:jc w:val="both"/>
        <w:rPr>
          <w:rFonts w:ascii="Times New Roman" w:hAnsi="Times New Roman"/>
          <w:sz w:val="22"/>
          <w:lang w:val="en-GB"/>
        </w:rPr>
      </w:pPr>
      <w:r w:rsidRPr="000B7CA0">
        <w:rPr>
          <w:rFonts w:ascii="Times New Roman" w:hAnsi="Times New Roman"/>
          <w:sz w:val="22"/>
          <w:lang w:val="en-GB"/>
        </w:rPr>
        <w:t>19.4</w:t>
      </w:r>
      <w:r w:rsidRPr="000B7CA0">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76EEA36A" w:rsidR="0047783A" w:rsidRPr="00D45256" w:rsidRDefault="00A633C6" w:rsidP="00D45256">
      <w:pPr>
        <w:pStyle w:val="Heading1"/>
        <w:rPr>
          <w:lang w:val="en-IE"/>
        </w:rPr>
      </w:pPr>
      <w:bookmarkStart w:id="33" w:name="_Toc42488089"/>
      <w:r w:rsidRPr="00D45256">
        <w:rPr>
          <w:lang w:val="en-IE"/>
        </w:rPr>
        <w:t>20.</w:t>
      </w:r>
      <w:r w:rsidR="00092841" w:rsidRPr="00D45256">
        <w:rPr>
          <w:lang w:val="en-IE"/>
        </w:rPr>
        <w:tab/>
      </w:r>
      <w:r w:rsidR="0047783A" w:rsidRPr="00D45256">
        <w:rPr>
          <w:lang w:val="en-GB"/>
        </w:rPr>
        <w:t xml:space="preserve">Evaluation </w:t>
      </w:r>
      <w:r w:rsidR="0047783A" w:rsidRPr="00D45256">
        <w:rPr>
          <w:lang w:val="en-IE"/>
        </w:rPr>
        <w:t>of tenders</w:t>
      </w:r>
      <w:bookmarkEnd w:id="33"/>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34"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lastRenderedPageBreak/>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34"/>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6B152ACB" w:rsidR="002456F1" w:rsidRDefault="00462394" w:rsidP="00D45256">
      <w:pPr>
        <w:tabs>
          <w:tab w:val="left" w:pos="851"/>
        </w:tabs>
        <w:ind w:left="851" w:hanging="284"/>
        <w:jc w:val="both"/>
        <w:rPr>
          <w:rFonts w:ascii="Times New Roman" w:hAnsi="Times New Roman"/>
          <w:sz w:val="22"/>
        </w:rPr>
      </w:pPr>
      <w:r>
        <w:rPr>
          <w:rFonts w:ascii="Times New Roman" w:hAnsi="Times New Roman"/>
          <w:sz w:val="22"/>
        </w:rPr>
        <w:t>c)</w:t>
      </w:r>
      <w:r>
        <w:rPr>
          <w:rFonts w:ascii="Times New Roman" w:hAnsi="Times New Roman"/>
          <w:sz w:val="22"/>
        </w:rPr>
        <w:tab/>
      </w:r>
      <w:r w:rsidR="002456F1">
        <w:rPr>
          <w:rFonts w:ascii="Times New Roman" w:hAnsi="Times New Roman"/>
          <w:sz w:val="22"/>
        </w:rPr>
        <w:t>Unless specified otherwise, t</w:t>
      </w:r>
      <w:r w:rsidR="002456F1" w:rsidRPr="004002E5">
        <w:rPr>
          <w:rFonts w:ascii="Times New Roman" w:hAnsi="Times New Roman"/>
          <w:sz w:val="22"/>
        </w:rPr>
        <w:t xml:space="preserve">he purpose of the </w:t>
      </w:r>
      <w:r w:rsidR="002456F1">
        <w:rPr>
          <w:rFonts w:ascii="Times New Roman" w:hAnsi="Times New Roman"/>
          <w:sz w:val="22"/>
        </w:rPr>
        <w:t>f</w:t>
      </w:r>
      <w:r w:rsidR="002456F1" w:rsidRPr="00E82463">
        <w:rPr>
          <w:rFonts w:ascii="Times New Roman" w:hAnsi="Times New Roman"/>
          <w:sz w:val="22"/>
        </w:rPr>
        <w:t>inancial</w:t>
      </w:r>
      <w:r w:rsidR="002456F1" w:rsidRPr="002456F1">
        <w:rPr>
          <w:rFonts w:ascii="Times New Roman" w:hAnsi="Times New Roman"/>
          <w:sz w:val="22"/>
        </w:rPr>
        <w:t xml:space="preserve"> </w:t>
      </w:r>
      <w:r w:rsidR="002456F1" w:rsidRPr="004002E5">
        <w:rPr>
          <w:rFonts w:ascii="Times New Roman" w:hAnsi="Times New Roman"/>
          <w:sz w:val="22"/>
        </w:rPr>
        <w:t xml:space="preserve">evaluation process is to identify the tenderer </w:t>
      </w:r>
      <w:r w:rsidR="002456F1">
        <w:rPr>
          <w:rFonts w:ascii="Times New Roman" w:hAnsi="Times New Roman"/>
          <w:sz w:val="22"/>
        </w:rPr>
        <w:t>of</w:t>
      </w:r>
      <w:r w:rsidR="002456F1" w:rsidRPr="004002E5">
        <w:rPr>
          <w:rFonts w:ascii="Times New Roman" w:hAnsi="Times New Roman"/>
          <w:sz w:val="22"/>
        </w:rPr>
        <w:t>f</w:t>
      </w:r>
      <w:r w:rsidR="002456F1">
        <w:rPr>
          <w:rFonts w:ascii="Times New Roman" w:hAnsi="Times New Roman"/>
          <w:sz w:val="22"/>
        </w:rPr>
        <w:t>e</w:t>
      </w:r>
      <w:r w:rsidR="002456F1" w:rsidRPr="004002E5">
        <w:rPr>
          <w:rFonts w:ascii="Times New Roman" w:hAnsi="Times New Roman"/>
          <w:sz w:val="22"/>
        </w:rPr>
        <w:t>r</w:t>
      </w:r>
      <w:r w:rsidR="002456F1">
        <w:rPr>
          <w:rFonts w:ascii="Times New Roman" w:hAnsi="Times New Roman"/>
          <w:sz w:val="22"/>
        </w:rPr>
        <w:t>ing</w:t>
      </w:r>
      <w:r w:rsidR="002456F1" w:rsidRPr="004002E5">
        <w:rPr>
          <w:rFonts w:ascii="Times New Roman" w:hAnsi="Times New Roman"/>
          <w:sz w:val="22"/>
        </w:rPr>
        <w:t xml:space="preserve"> the lowest </w:t>
      </w:r>
      <w:r w:rsidR="002456F1">
        <w:rPr>
          <w:rFonts w:ascii="Times New Roman" w:hAnsi="Times New Roman"/>
          <w:sz w:val="22"/>
        </w:rPr>
        <w:t>price</w:t>
      </w:r>
      <w:r w:rsidR="002456F1" w:rsidRPr="004002E5">
        <w:rPr>
          <w:rFonts w:ascii="Times New Roman" w:hAnsi="Times New Roman"/>
          <w:sz w:val="22"/>
        </w:rPr>
        <w:t xml:space="preserve">. </w:t>
      </w:r>
      <w:r w:rsidR="002456F1">
        <w:rPr>
          <w:rFonts w:ascii="Times New Roman" w:hAnsi="Times New Roman"/>
          <w:sz w:val="22"/>
        </w:rPr>
        <w:t xml:space="preserve">Where specified in </w:t>
      </w:r>
      <w:r w:rsidR="002456F1" w:rsidRPr="004002E5">
        <w:rPr>
          <w:rFonts w:ascii="Times New Roman" w:hAnsi="Times New Roman"/>
          <w:sz w:val="22"/>
        </w:rPr>
        <w:t>the technical specifications</w:t>
      </w:r>
      <w:r w:rsidR="002456F1">
        <w:rPr>
          <w:rFonts w:ascii="Times New Roman" w:hAnsi="Times New Roman"/>
          <w:sz w:val="22"/>
        </w:rPr>
        <w:t>, t</w:t>
      </w:r>
      <w:r w:rsidR="002456F1" w:rsidRPr="004002E5">
        <w:rPr>
          <w:rFonts w:ascii="Times New Roman" w:hAnsi="Times New Roman"/>
          <w:sz w:val="22"/>
        </w:rPr>
        <w:t xml:space="preserve">he evaluation of tenders may take into account not only the </w:t>
      </w:r>
      <w:r w:rsidR="002456F1">
        <w:rPr>
          <w:rFonts w:ascii="Times New Roman" w:hAnsi="Times New Roman"/>
          <w:sz w:val="22"/>
        </w:rPr>
        <w:t>a</w:t>
      </w:r>
      <w:r w:rsidR="002456F1" w:rsidRPr="004002E5">
        <w:rPr>
          <w:rFonts w:ascii="Times New Roman" w:hAnsi="Times New Roman"/>
          <w:sz w:val="22"/>
        </w:rPr>
        <w:t>c</w:t>
      </w:r>
      <w:r w:rsidR="002456F1">
        <w:rPr>
          <w:rFonts w:ascii="Times New Roman" w:hAnsi="Times New Roman"/>
          <w:sz w:val="22"/>
        </w:rPr>
        <w:t>quisition</w:t>
      </w:r>
      <w:r w:rsidR="002456F1" w:rsidRPr="004002E5">
        <w:rPr>
          <w:rFonts w:ascii="Times New Roman" w:hAnsi="Times New Roman"/>
          <w:sz w:val="22"/>
        </w:rPr>
        <w:t xml:space="preserve"> costs but, </w:t>
      </w:r>
      <w:r w:rsidR="002456F1" w:rsidRPr="00D73E36">
        <w:rPr>
          <w:rFonts w:ascii="Times New Roman" w:hAnsi="Times New Roman"/>
          <w:sz w:val="22"/>
        </w:rPr>
        <w:t>to the extent relevant</w:t>
      </w:r>
      <w:r w:rsidR="002456F1" w:rsidRPr="004002E5">
        <w:rPr>
          <w:rFonts w:ascii="Times New Roman" w:hAnsi="Times New Roman"/>
          <w:sz w:val="22"/>
        </w:rPr>
        <w:t xml:space="preserve">, </w:t>
      </w:r>
      <w:r w:rsidR="002456F1" w:rsidRPr="00D73E36">
        <w:rPr>
          <w:rFonts w:ascii="Times New Roman" w:hAnsi="Times New Roman"/>
          <w:sz w:val="22"/>
        </w:rPr>
        <w:t xml:space="preserve">costs borne over the life cycle of the supplies (such as for instance maintenance costs </w:t>
      </w:r>
      <w:r w:rsidR="002456F1" w:rsidRPr="004002E5">
        <w:rPr>
          <w:rFonts w:ascii="Times New Roman" w:hAnsi="Times New Roman"/>
          <w:sz w:val="22"/>
        </w:rPr>
        <w:t xml:space="preserve">and operating costs), in line with the technical specifications. </w:t>
      </w:r>
      <w:r w:rsidR="002456F1">
        <w:rPr>
          <w:rFonts w:ascii="Times New Roman" w:hAnsi="Times New Roman"/>
          <w:sz w:val="22"/>
        </w:rPr>
        <w:t>In such case, t</w:t>
      </w:r>
      <w:r w:rsidR="002456F1" w:rsidRPr="004002E5">
        <w:rPr>
          <w:rFonts w:ascii="Times New Roman" w:hAnsi="Times New Roman"/>
          <w:sz w:val="22"/>
        </w:rPr>
        <w:t xml:space="preserve">he </w:t>
      </w:r>
      <w:r w:rsidR="00DD6678">
        <w:rPr>
          <w:rFonts w:ascii="Times New Roman" w:hAnsi="Times New Roman"/>
          <w:sz w:val="22"/>
        </w:rPr>
        <w:t>c</w:t>
      </w:r>
      <w:r w:rsidR="002456F1" w:rsidRPr="004002E5">
        <w:rPr>
          <w:rFonts w:ascii="Times New Roman" w:hAnsi="Times New Roman"/>
          <w:sz w:val="22"/>
        </w:rPr>
        <w:t xml:space="preserve">ontracting </w:t>
      </w:r>
      <w:r w:rsidR="00DD6678">
        <w:rPr>
          <w:rFonts w:ascii="Times New Roman" w:hAnsi="Times New Roman"/>
          <w:sz w:val="22"/>
        </w:rPr>
        <w:t>a</w:t>
      </w:r>
      <w:r w:rsidR="002456F1"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002456F1" w:rsidRPr="009C1AB9">
        <w:rPr>
          <w:rFonts w:ascii="Times New Roman" w:hAnsi="Times New Roman"/>
          <w:sz w:val="22"/>
        </w:rPr>
        <w:t>.</w:t>
      </w:r>
    </w:p>
    <w:p w14:paraId="225D2214" w14:textId="77777777" w:rsidR="0047783A" w:rsidRPr="00E82463" w:rsidRDefault="0047783A" w:rsidP="00462394">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439E12D8" w14:textId="3A7A6610" w:rsidR="0047783A" w:rsidRPr="00E82463" w:rsidRDefault="0047783A" w:rsidP="0047783A">
      <w:pPr>
        <w:ind w:left="567" w:firstLine="11"/>
        <w:jc w:val="both"/>
        <w:outlineLvl w:val="0"/>
        <w:rPr>
          <w:rFonts w:ascii="Times New Roman" w:hAnsi="Times New Roman"/>
        </w:rPr>
      </w:pPr>
      <w:r w:rsidRPr="0082788E">
        <w:rPr>
          <w:rFonts w:ascii="Times New Roman" w:hAnsi="Times New Roman"/>
          <w:sz w:val="22"/>
        </w:rPr>
        <w:t>The sole award criterion will be the price. The contract will be awarded to the lowest compliant tender.</w:t>
      </w:r>
    </w:p>
    <w:p w14:paraId="1E6B308A" w14:textId="261798E5" w:rsidR="0048742A" w:rsidRPr="00D45256" w:rsidRDefault="004F7E7A" w:rsidP="00D45256">
      <w:pPr>
        <w:pStyle w:val="Heading2"/>
        <w:ind w:left="567" w:hanging="567"/>
        <w:jc w:val="both"/>
        <w:rPr>
          <w:rFonts w:ascii="Times New Roman" w:hAnsi="Times New Roman"/>
          <w:sz w:val="22"/>
          <w:szCs w:val="22"/>
          <w:lang w:val="en-IE"/>
        </w:rPr>
      </w:pPr>
      <w:r w:rsidRPr="00D45256">
        <w:rPr>
          <w:rFonts w:ascii="Times New Roman" w:hAnsi="Times New Roman"/>
          <w:sz w:val="22"/>
          <w:szCs w:val="22"/>
          <w:lang w:val="en-IE"/>
        </w:rPr>
        <w:t>20.7</w:t>
      </w:r>
      <w:r w:rsidR="00462394" w:rsidRPr="00D45256">
        <w:rPr>
          <w:rFonts w:ascii="Times New Roman" w:hAnsi="Times New Roman"/>
          <w:sz w:val="22"/>
          <w:szCs w:val="22"/>
          <w:lang w:val="en-IE"/>
        </w:rPr>
        <w:tab/>
      </w:r>
      <w:r w:rsidR="0048742A" w:rsidRPr="00D45256">
        <w:rPr>
          <w:rFonts w:ascii="Times New Roman" w:hAnsi="Times New Roman"/>
          <w:sz w:val="22"/>
          <w:szCs w:val="22"/>
          <w:lang w:val="en-IE"/>
        </w:rPr>
        <w:t>Documentary evidence for exclusion and selection criteria</w:t>
      </w:r>
    </w:p>
    <w:p w14:paraId="33450473" w14:textId="77777777" w:rsidR="00F421B0" w:rsidRDefault="00F421B0" w:rsidP="00F421B0">
      <w:pPr>
        <w:spacing w:before="0" w:after="0" w:line="276" w:lineRule="auto"/>
        <w:ind w:left="567"/>
        <w:jc w:val="both"/>
        <w:rPr>
          <w:rFonts w:ascii="Times New Roman" w:hAnsi="Times New Roman"/>
          <w:b/>
          <w:bCs/>
          <w:color w:val="000000"/>
          <w:sz w:val="22"/>
          <w:szCs w:val="22"/>
        </w:rPr>
      </w:pPr>
      <w:r w:rsidRPr="00792578">
        <w:rPr>
          <w:rFonts w:ascii="Times New Roman" w:hAnsi="Times New Roman"/>
          <w:b/>
          <w:bCs/>
          <w:color w:val="000000"/>
          <w:sz w:val="22"/>
          <w:szCs w:val="22"/>
        </w:rPr>
        <w:t>No documentary evidence of the selection criteria shall be submitted but no pre-financing will be granted.</w:t>
      </w:r>
    </w:p>
    <w:p w14:paraId="3B82FCC1" w14:textId="77777777" w:rsidR="00EA1ADC" w:rsidRDefault="00EA1ADC" w:rsidP="00D45256">
      <w:pPr>
        <w:ind w:left="567" w:hanging="567"/>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lastRenderedPageBreak/>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D45256" w:rsidRDefault="00EA1ADC" w:rsidP="00D45256">
      <w:pPr>
        <w:pStyle w:val="Heading1"/>
        <w:rPr>
          <w:lang w:val="en-IE"/>
        </w:rPr>
      </w:pPr>
      <w:bookmarkStart w:id="35" w:name="_Toc41467298"/>
      <w:bookmarkStart w:id="36" w:name="_Toc42488090"/>
      <w:r w:rsidRPr="00D45256">
        <w:rPr>
          <w:lang w:val="en-IE"/>
        </w:rPr>
        <w:t>22.</w:t>
      </w:r>
      <w:r w:rsidRPr="00D45256">
        <w:rPr>
          <w:lang w:val="en-IE"/>
        </w:rPr>
        <w:tab/>
      </w:r>
      <w:r w:rsidR="0047783A" w:rsidRPr="00D45256">
        <w:rPr>
          <w:lang w:val="en-IE"/>
        </w:rPr>
        <w:t>Signature of the contract and performance guarantee</w:t>
      </w:r>
      <w:bookmarkStart w:id="37" w:name="_Ref500418776"/>
      <w:bookmarkEnd w:id="35"/>
      <w:bookmarkEnd w:id="36"/>
    </w:p>
    <w:p w14:paraId="2DC2476A" w14:textId="0098108C" w:rsidR="0047783A" w:rsidRPr="00E07D2A" w:rsidRDefault="0047783A" w:rsidP="0047783A">
      <w:pPr>
        <w:ind w:left="567" w:hanging="567"/>
        <w:jc w:val="both"/>
        <w:outlineLvl w:val="0"/>
        <w:rPr>
          <w:rFonts w:ascii="Times New Roman" w:hAnsi="Times New Roman"/>
          <w:sz w:val="22"/>
        </w:rPr>
      </w:pPr>
      <w:r w:rsidRPr="00462394">
        <w:rPr>
          <w:rFonts w:ascii="Times New Roman" w:hAnsi="Times New Roman"/>
          <w:sz w:val="22"/>
          <w:szCs w:val="22"/>
        </w:rPr>
        <w:t>2</w:t>
      </w:r>
      <w:r w:rsidR="00EA1ADC" w:rsidRPr="00462394">
        <w:rPr>
          <w:rFonts w:ascii="Times New Roman" w:hAnsi="Times New Roman"/>
          <w:sz w:val="22"/>
          <w:szCs w:val="22"/>
        </w:rPr>
        <w:t>2.</w:t>
      </w:r>
      <w:r w:rsidR="00032EDE" w:rsidRPr="00D45256">
        <w:rPr>
          <w:rFonts w:ascii="Times New Roman" w:hAnsi="Times New Roman"/>
          <w:sz w:val="22"/>
          <w:szCs w:val="22"/>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 xml:space="preserve">by more than </w:t>
      </w:r>
      <w:r w:rsidR="00C21CF2">
        <w:rPr>
          <w:rFonts w:ascii="Times New Roman" w:hAnsi="Times New Roman"/>
          <w:sz w:val="22"/>
          <w:szCs w:val="22"/>
        </w:rPr>
        <w:t>10</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38CF475A" w:rsidR="0047783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the </w:t>
      </w:r>
      <w:r w:rsidR="00716419">
        <w:rPr>
          <w:rFonts w:ascii="Times New Roman" w:hAnsi="Times New Roman"/>
          <w:sz w:val="22"/>
          <w:lang w:val="en-GB"/>
        </w:rPr>
        <w:t xml:space="preserve">other party </w:t>
      </w:r>
      <w:r w:rsidRPr="00E07D2A">
        <w:rPr>
          <w:rFonts w:ascii="Times New Roman" w:hAnsi="Times New Roman"/>
          <w:sz w:val="22"/>
          <w:lang w:val="en-GB"/>
        </w:rPr>
        <w:t xml:space="preserve">must </w:t>
      </w:r>
      <w:r w:rsidR="00716419">
        <w:rPr>
          <w:rFonts w:ascii="Times New Roman" w:hAnsi="Times New Roman"/>
          <w:sz w:val="22"/>
          <w:lang w:val="en-GB"/>
        </w:rPr>
        <w:t>counter</w:t>
      </w:r>
      <w:r w:rsidRPr="00E07D2A">
        <w:rPr>
          <w:rFonts w:ascii="Times New Roman" w:hAnsi="Times New Roman"/>
          <w:sz w:val="22"/>
          <w:lang w:val="en-GB"/>
        </w:rPr>
        <w:t>sign and date the contract and return it</w:t>
      </w:r>
      <w:r w:rsidR="00716419">
        <w:rPr>
          <w:rFonts w:ascii="Times New Roman" w:hAnsi="Times New Roman"/>
          <w:sz w:val="22"/>
          <w:lang w:val="en-GB"/>
        </w:rPr>
        <w:t>. If applicable</w:t>
      </w:r>
      <w:r w:rsidR="00EB560F">
        <w:rPr>
          <w:rFonts w:ascii="Times New Roman" w:hAnsi="Times New Roman"/>
          <w:sz w:val="22"/>
          <w:lang w:val="en-GB"/>
        </w:rPr>
        <w:t>,</w:t>
      </w:r>
      <w:r w:rsidRPr="00E07D2A">
        <w:rPr>
          <w:rFonts w:ascii="Times New Roman" w:hAnsi="Times New Roman"/>
          <w:sz w:val="22"/>
          <w:lang w:val="en-GB"/>
        </w:rPr>
        <w:t xml:space="preserve"> the</w:t>
      </w:r>
      <w:r w:rsidR="001E4A7B">
        <w:rPr>
          <w:rFonts w:ascii="Times New Roman" w:hAnsi="Times New Roman"/>
          <w:sz w:val="22"/>
          <w:lang w:val="en-GB"/>
        </w:rPr>
        <w:t xml:space="preserve"> contractor shall together with the return of the countersigned contract, </w:t>
      </w:r>
      <w:r w:rsidR="00D37459">
        <w:rPr>
          <w:rFonts w:ascii="Times New Roman" w:hAnsi="Times New Roman"/>
          <w:sz w:val="22"/>
          <w:lang w:val="en-GB"/>
        </w:rPr>
        <w:t xml:space="preserve">submit </w:t>
      </w:r>
      <w:r w:rsidR="001E4A7B">
        <w:rPr>
          <w:rFonts w:ascii="Times New Roman" w:hAnsi="Times New Roman"/>
          <w:sz w:val="22"/>
          <w:lang w:val="en-GB"/>
        </w:rPr>
        <w:t>to the contracting authority a</w:t>
      </w:r>
      <w:r w:rsidRPr="00E07D2A">
        <w:rPr>
          <w:rFonts w:ascii="Times New Roman" w:hAnsi="Times New Roman"/>
          <w:sz w:val="22"/>
          <w:lang w:val="en-GB"/>
        </w:rPr>
        <w:t xml:space="preserve"> performance guarantee.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p w14:paraId="7C34A0E8" w14:textId="65CAF3E5" w:rsidR="00506A24" w:rsidRPr="00D45256" w:rsidRDefault="00E932EE" w:rsidP="00D45256">
      <w:pPr>
        <w:widowControl w:val="0"/>
        <w:tabs>
          <w:tab w:val="num" w:pos="567"/>
        </w:tabs>
        <w:spacing w:before="100" w:after="100"/>
        <w:ind w:left="567"/>
        <w:jc w:val="both"/>
        <w:rPr>
          <w:rFonts w:ascii="Times New Roman" w:hAnsi="Times New Roman"/>
          <w:sz w:val="22"/>
          <w:szCs w:val="22"/>
        </w:rPr>
      </w:pPr>
      <w:r>
        <w:rPr>
          <w:rFonts w:ascii="Times New Roman" w:hAnsi="Times New Roman"/>
          <w:snapToGrid/>
          <w:sz w:val="22"/>
          <w:szCs w:val="22"/>
          <w:lang w:eastAsia="en-GB"/>
        </w:rPr>
        <w:t>I</w:t>
      </w:r>
      <w:r w:rsidR="00506A24" w:rsidRPr="00506A24">
        <w:rPr>
          <w:rFonts w:ascii="Times New Roman" w:hAnsi="Times New Roman"/>
          <w:snapToGrid/>
          <w:sz w:val="22"/>
          <w:szCs w:val="22"/>
          <w:lang w:eastAsia="en-GB"/>
        </w:rPr>
        <w:t>f a tenderer to whom the contract is awarded (any of the group members in case of a consortium) has established debt(s) owed to the Union, the European Atomic Energy Community or an executive agency when the latter implements the Union budget, such debt(s) may be offset, in line with Articles 101(1) and 102 the Financial Regulation and the conditions set out in the draft contract, against any payment due under</w:t>
      </w:r>
      <w:r w:rsidR="00506A24" w:rsidRPr="00506A24">
        <w:rPr>
          <w:rFonts w:ascii="Times New Roman" w:hAnsi="Times New Roman"/>
          <w:snapToGrid/>
          <w:lang w:eastAsia="en-GB"/>
        </w:rPr>
        <w:t xml:space="preserve"> </w:t>
      </w:r>
      <w:r w:rsidR="00506A24" w:rsidRPr="00506A24">
        <w:rPr>
          <w:rFonts w:ascii="Times New Roman" w:hAnsi="Times New Roman"/>
          <w:snapToGrid/>
          <w:sz w:val="22"/>
          <w:szCs w:val="22"/>
          <w:lang w:eastAsia="en-GB"/>
        </w:rPr>
        <w:t>the contract. The contracting authority will verify the existence of overdue debts of the successful tenderer[s] (any of the group members in case of a consortium), and, if any such debt is found, will inform the tenderer (the leader in case of a consortium who will then have the obligation to inform all other group members before signing the contract) that the debt(s) may be offset against any payment under due the contract.</w:t>
      </w:r>
    </w:p>
    <w:bookmarkEnd w:id="37"/>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391681E3" w14:textId="02F12CC7" w:rsidR="00462394" w:rsidRPr="00D45256" w:rsidRDefault="0047783A" w:rsidP="00D45256">
      <w:pPr>
        <w:pStyle w:val="Heading2"/>
        <w:keepNext w:val="0"/>
        <w:ind w:left="567" w:hanging="567"/>
        <w:jc w:val="both"/>
        <w:rPr>
          <w:rFonts w:ascii="Times New Roman" w:hAnsi="Times New Roman"/>
          <w:sz w:val="22"/>
          <w:szCs w:val="22"/>
          <w:lang w:val="en-IE"/>
        </w:rPr>
      </w:pPr>
      <w:r w:rsidRPr="00D45256">
        <w:rPr>
          <w:rFonts w:ascii="Times New Roman" w:hAnsi="Times New Roman"/>
          <w:sz w:val="22"/>
          <w:szCs w:val="22"/>
          <w:lang w:val="en-GB"/>
        </w:rPr>
        <w:t>2</w:t>
      </w:r>
      <w:r w:rsidR="00EA1ADC" w:rsidRPr="00D45256">
        <w:rPr>
          <w:rFonts w:ascii="Times New Roman" w:hAnsi="Times New Roman"/>
          <w:sz w:val="22"/>
          <w:szCs w:val="22"/>
          <w:lang w:val="en-GB"/>
        </w:rPr>
        <w:t>2</w:t>
      </w:r>
      <w:r w:rsidRPr="00D45256">
        <w:rPr>
          <w:rFonts w:ascii="Times New Roman" w:hAnsi="Times New Roman"/>
          <w:sz w:val="22"/>
          <w:szCs w:val="22"/>
          <w:lang w:val="en-GB"/>
        </w:rPr>
        <w:t>.</w:t>
      </w:r>
      <w:r w:rsidR="00032EDE" w:rsidRPr="00D45256">
        <w:rPr>
          <w:rFonts w:ascii="Times New Roman" w:hAnsi="Times New Roman"/>
          <w:sz w:val="22"/>
          <w:szCs w:val="22"/>
          <w:lang w:val="en-GB"/>
        </w:rPr>
        <w:t>4</w:t>
      </w:r>
      <w:r w:rsidRPr="00D45256">
        <w:rPr>
          <w:rFonts w:ascii="Times New Roman" w:hAnsi="Times New Roman"/>
          <w:sz w:val="22"/>
          <w:szCs w:val="22"/>
          <w:lang w:val="en-GB"/>
        </w:rPr>
        <w:tab/>
        <w:t xml:space="preserve">The performance guarantee referred to in the </w:t>
      </w:r>
      <w:r w:rsidR="000D5F1B" w:rsidRPr="00D45256">
        <w:rPr>
          <w:rFonts w:ascii="Times New Roman" w:hAnsi="Times New Roman"/>
          <w:sz w:val="22"/>
          <w:szCs w:val="22"/>
          <w:lang w:val="en-GB"/>
        </w:rPr>
        <w:t>g</w:t>
      </w:r>
      <w:r w:rsidRPr="00D45256">
        <w:rPr>
          <w:rFonts w:ascii="Times New Roman" w:hAnsi="Times New Roman"/>
          <w:sz w:val="22"/>
          <w:szCs w:val="22"/>
          <w:lang w:val="en-GB"/>
        </w:rPr>
        <w:t xml:space="preserve">eneral </w:t>
      </w:r>
      <w:r w:rsidR="000D5F1B" w:rsidRPr="00D45256">
        <w:rPr>
          <w:rFonts w:ascii="Times New Roman" w:hAnsi="Times New Roman"/>
          <w:sz w:val="22"/>
          <w:szCs w:val="22"/>
          <w:lang w:val="en-GB"/>
        </w:rPr>
        <w:t>c</w:t>
      </w:r>
      <w:r w:rsidRPr="00D45256">
        <w:rPr>
          <w:rFonts w:ascii="Times New Roman" w:hAnsi="Times New Roman"/>
          <w:sz w:val="22"/>
          <w:szCs w:val="22"/>
          <w:lang w:val="en-GB"/>
        </w:rPr>
        <w:t>onditions is set at &lt;</w:t>
      </w:r>
      <w:r w:rsidR="00A11437" w:rsidRPr="00D45256">
        <w:rPr>
          <w:rFonts w:ascii="Times New Roman" w:hAnsi="Times New Roman"/>
          <w:sz w:val="22"/>
          <w:szCs w:val="22"/>
          <w:lang w:val="en-GB"/>
        </w:rPr>
        <w:t xml:space="preserve"> insert percentage between 5 and 10</w:t>
      </w:r>
      <w:r w:rsidRPr="00D45256">
        <w:rPr>
          <w:rFonts w:ascii="Times New Roman" w:hAnsi="Times New Roman"/>
          <w:sz w:val="22"/>
          <w:szCs w:val="22"/>
          <w:lang w:val="en-GB"/>
        </w:rPr>
        <w:t>&gt;</w:t>
      </w:r>
      <w:r w:rsidR="00A11437" w:rsidRPr="00D45256">
        <w:rPr>
          <w:rFonts w:ascii="Times New Roman" w:hAnsi="Times New Roman"/>
          <w:sz w:val="22"/>
          <w:szCs w:val="22"/>
          <w:lang w:val="en-GB"/>
        </w:rPr>
        <w:t>%</w:t>
      </w:r>
      <w:r w:rsidRPr="00D45256">
        <w:rPr>
          <w:rFonts w:ascii="Times New Roman" w:hAnsi="Times New Roman"/>
          <w:sz w:val="22"/>
          <w:szCs w:val="22"/>
          <w:lang w:val="en-GB"/>
        </w:rPr>
        <w:t xml:space="preserve"> of the amount of the contract</w:t>
      </w:r>
      <w:r w:rsidR="00E07D2A" w:rsidRPr="00D45256">
        <w:rPr>
          <w:rFonts w:ascii="Times New Roman" w:hAnsi="Times New Roman"/>
          <w:sz w:val="22"/>
          <w:szCs w:val="22"/>
          <w:lang w:val="en-GB"/>
        </w:rPr>
        <w:t>. The performance guarantee</w:t>
      </w:r>
      <w:r w:rsidRPr="00D45256">
        <w:rPr>
          <w:rFonts w:ascii="Times New Roman" w:hAnsi="Times New Roman"/>
          <w:sz w:val="22"/>
          <w:szCs w:val="22"/>
          <w:lang w:val="en-GB"/>
        </w:rPr>
        <w:t xml:space="preserve"> must be presented in the form specified in the annex to the tender dossier. It will be released within </w:t>
      </w:r>
      <w:r w:rsidR="007533EA" w:rsidRPr="00D45256">
        <w:rPr>
          <w:rFonts w:ascii="Times New Roman" w:hAnsi="Times New Roman"/>
          <w:sz w:val="22"/>
          <w:szCs w:val="22"/>
          <w:lang w:val="en-GB"/>
        </w:rPr>
        <w:t>60</w:t>
      </w:r>
      <w:r w:rsidRPr="00D45256">
        <w:rPr>
          <w:rFonts w:ascii="Times New Roman" w:hAnsi="Times New Roman"/>
          <w:sz w:val="22"/>
          <w:szCs w:val="22"/>
          <w:lang w:val="en-GB"/>
        </w:rPr>
        <w:t xml:space="preserve"> days of the issue of the final acceptance certificate by the </w:t>
      </w:r>
      <w:r w:rsidR="000D5F1B" w:rsidRPr="00D45256">
        <w:rPr>
          <w:rFonts w:ascii="Times New Roman" w:hAnsi="Times New Roman"/>
          <w:sz w:val="22"/>
          <w:szCs w:val="22"/>
          <w:lang w:val="en-GB"/>
        </w:rPr>
        <w:t>c</w:t>
      </w:r>
      <w:r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Pr="00D45256">
        <w:rPr>
          <w:rFonts w:ascii="Times New Roman" w:hAnsi="Times New Roman"/>
          <w:sz w:val="22"/>
          <w:szCs w:val="22"/>
          <w:lang w:val="en-GB"/>
        </w:rPr>
        <w:t>uthority, except for the proportion assigned to after-sales service.</w:t>
      </w:r>
      <w:r w:rsidR="008718AA" w:rsidRPr="00D45256">
        <w:rPr>
          <w:rFonts w:ascii="Times New Roman" w:hAnsi="Times New Roman"/>
          <w:sz w:val="22"/>
          <w:szCs w:val="22"/>
          <w:lang w:val="en-GB"/>
        </w:rPr>
        <w:t xml:space="preserve"> For contracts of </w:t>
      </w:r>
      <w:r w:rsidR="000D5F1B" w:rsidRPr="00D45256">
        <w:rPr>
          <w:rFonts w:ascii="Times New Roman" w:hAnsi="Times New Roman"/>
          <w:sz w:val="22"/>
          <w:szCs w:val="22"/>
          <w:lang w:val="en-GB"/>
        </w:rPr>
        <w:t>EUR</w:t>
      </w:r>
      <w:r w:rsidR="008718AA" w:rsidRPr="00D45256">
        <w:rPr>
          <w:rFonts w:ascii="Times New Roman" w:hAnsi="Times New Roman"/>
          <w:sz w:val="22"/>
          <w:szCs w:val="22"/>
          <w:lang w:val="en-GB"/>
        </w:rPr>
        <w:t xml:space="preserve"> 150</w:t>
      </w:r>
      <w:r w:rsidR="000D5F1B" w:rsidRPr="00D45256">
        <w:rPr>
          <w:rFonts w:ascii="Times New Roman" w:hAnsi="Times New Roman"/>
          <w:sz w:val="22"/>
          <w:szCs w:val="22"/>
          <w:lang w:val="en-GB"/>
        </w:rPr>
        <w:t> </w:t>
      </w:r>
      <w:r w:rsidR="008718AA" w:rsidRPr="00D45256">
        <w:rPr>
          <w:rFonts w:ascii="Times New Roman" w:hAnsi="Times New Roman"/>
          <w:sz w:val="22"/>
          <w:szCs w:val="22"/>
          <w:lang w:val="en-GB"/>
        </w:rPr>
        <w:t xml:space="preserve">000 or below, on the basis of objective criteria such as the type and value of the contract, the </w:t>
      </w:r>
      <w:r w:rsidR="000D5F1B" w:rsidRPr="00D45256">
        <w:rPr>
          <w:rFonts w:ascii="Times New Roman" w:hAnsi="Times New Roman"/>
          <w:sz w:val="22"/>
          <w:szCs w:val="22"/>
          <w:lang w:val="en-GB"/>
        </w:rPr>
        <w:t>c</w:t>
      </w:r>
      <w:r w:rsidR="008718AA"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008718AA" w:rsidRPr="00D45256">
        <w:rPr>
          <w:rFonts w:ascii="Times New Roman" w:hAnsi="Times New Roman"/>
          <w:sz w:val="22"/>
          <w:szCs w:val="22"/>
          <w:lang w:val="en-GB"/>
        </w:rPr>
        <w:t>uthority may decide not to require such a guarantee.</w:t>
      </w:r>
      <w:r w:rsidR="00D15C09" w:rsidRPr="00D45256">
        <w:rPr>
          <w:rFonts w:ascii="Times New Roman" w:hAnsi="Times New Roman"/>
          <w:sz w:val="22"/>
          <w:szCs w:val="22"/>
          <w:lang w:val="en-GB"/>
        </w:rPr>
        <w:t xml:space="preserve">  </w:t>
      </w:r>
    </w:p>
    <w:p w14:paraId="2201497C" w14:textId="77777777" w:rsidR="0047783A" w:rsidRPr="00D45256" w:rsidRDefault="00EA1ADC" w:rsidP="00D45256">
      <w:pPr>
        <w:pStyle w:val="Heading1"/>
        <w:rPr>
          <w:lang w:val="en-IE"/>
        </w:rPr>
      </w:pPr>
      <w:bookmarkStart w:id="38" w:name="_Toc41467299"/>
      <w:bookmarkStart w:id="39" w:name="_Toc42488091"/>
      <w:r w:rsidRPr="00D45256">
        <w:rPr>
          <w:lang w:val="en-IE"/>
        </w:rPr>
        <w:t>23.</w:t>
      </w:r>
      <w:r w:rsidRPr="00D45256">
        <w:rPr>
          <w:lang w:val="en-IE"/>
        </w:rPr>
        <w:tab/>
      </w:r>
      <w:r w:rsidR="0047783A" w:rsidRPr="00D45256">
        <w:rPr>
          <w:lang w:val="en-IE"/>
        </w:rPr>
        <w:t xml:space="preserve">Tender </w:t>
      </w:r>
      <w:r w:rsidR="0047783A" w:rsidRPr="00D45256">
        <w:rPr>
          <w:lang w:val="en-GB"/>
        </w:rPr>
        <w:t>guarantee</w:t>
      </w:r>
      <w:bookmarkEnd w:id="38"/>
      <w:bookmarkEnd w:id="39"/>
    </w:p>
    <w:p w14:paraId="013B3266" w14:textId="1EF0C1BA" w:rsidR="00E65BB2" w:rsidRDefault="0082788E" w:rsidP="00C07667">
      <w:pPr>
        <w:ind w:left="567"/>
        <w:jc w:val="both"/>
        <w:outlineLvl w:val="0"/>
        <w:rPr>
          <w:rFonts w:ascii="Times New Roman" w:hAnsi="Times New Roman"/>
          <w:sz w:val="22"/>
          <w:szCs w:val="22"/>
        </w:rPr>
      </w:pPr>
      <w:r w:rsidRPr="0082788E">
        <w:rPr>
          <w:rFonts w:ascii="Times New Roman" w:hAnsi="Times New Roman"/>
          <w:sz w:val="22"/>
          <w:szCs w:val="22"/>
        </w:rPr>
        <w:t xml:space="preserve">Tenderers must provide a tender guarantee of EUR (see below table with the amount per lot) </w:t>
      </w:r>
      <w:r w:rsidR="001744F6" w:rsidRPr="000B7CA0">
        <w:rPr>
          <w:rFonts w:ascii="Times New Roman" w:hAnsi="Times New Roman"/>
          <w:sz w:val="22"/>
          <w:szCs w:val="22"/>
        </w:rPr>
        <w:t xml:space="preserve">when submitting their tender. </w:t>
      </w:r>
      <w:r w:rsidR="00E65BB2" w:rsidRPr="000B7CA0">
        <w:rPr>
          <w:rFonts w:ascii="Times New Roman" w:hAnsi="Times New Roman"/>
          <w:sz w:val="22"/>
          <w:szCs w:val="22"/>
        </w:rPr>
        <w:t>The tender guarantee must be presented in the form specified in the annex to the tender dossier. It must remain valid for 45 days beyond the period of validity of the tender.</w:t>
      </w:r>
      <w:r w:rsidR="00A11437" w:rsidRPr="000B7CA0">
        <w:rPr>
          <w:rFonts w:ascii="Times New Roman" w:hAnsi="Times New Roman"/>
          <w:sz w:val="22"/>
          <w:szCs w:val="22"/>
        </w:rPr>
        <w:t xml:space="preserve"> This guarantee will be called upon if the tenderer does not fulfil all obligations stated in its tender.</w:t>
      </w:r>
    </w:p>
    <w:tbl>
      <w:tblPr>
        <w:tblW w:w="7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190"/>
        <w:gridCol w:w="2181"/>
      </w:tblGrid>
      <w:tr w:rsidR="00B57FC4" w:rsidRPr="005C6DA1" w14:paraId="5F256B19" w14:textId="77777777" w:rsidTr="00D9543F">
        <w:trPr>
          <w:trHeight w:val="248"/>
        </w:trPr>
        <w:tc>
          <w:tcPr>
            <w:tcW w:w="993" w:type="dxa"/>
          </w:tcPr>
          <w:p w14:paraId="723CF530" w14:textId="77777777" w:rsidR="00B57FC4" w:rsidRPr="00153329" w:rsidRDefault="00B57FC4" w:rsidP="00B57FC4">
            <w:pPr>
              <w:spacing w:before="0" w:after="0"/>
              <w:jc w:val="both"/>
              <w:outlineLvl w:val="1"/>
              <w:rPr>
                <w:rFonts w:ascii="Times New Roman" w:hAnsi="Times New Roman" w:cs="Arial"/>
                <w:bCs/>
                <w:iCs/>
                <w:snapToGrid/>
                <w:sz w:val="22"/>
                <w:szCs w:val="22"/>
              </w:rPr>
            </w:pPr>
            <w:r w:rsidRPr="00153329">
              <w:rPr>
                <w:rFonts w:ascii="Times New Roman" w:hAnsi="Times New Roman" w:cs="Arial"/>
                <w:bCs/>
                <w:iCs/>
                <w:snapToGrid/>
                <w:sz w:val="22"/>
                <w:szCs w:val="22"/>
              </w:rPr>
              <w:t>Lot 1</w:t>
            </w:r>
          </w:p>
        </w:tc>
        <w:tc>
          <w:tcPr>
            <w:tcW w:w="4190" w:type="dxa"/>
          </w:tcPr>
          <w:p w14:paraId="27972AB3" w14:textId="77777777" w:rsidR="00B57FC4" w:rsidRPr="00153329" w:rsidRDefault="00B57FC4" w:rsidP="00B57FC4">
            <w:pPr>
              <w:spacing w:before="0" w:after="0"/>
              <w:jc w:val="center"/>
              <w:outlineLvl w:val="0"/>
              <w:rPr>
                <w:rFonts w:ascii="Times New Roman" w:hAnsi="Times New Roman"/>
                <w:bCs/>
                <w:snapToGrid/>
                <w:sz w:val="22"/>
                <w:szCs w:val="22"/>
                <w:lang w:val="en-US"/>
              </w:rPr>
            </w:pPr>
            <w:r w:rsidRPr="00153329">
              <w:rPr>
                <w:rFonts w:ascii="Times New Roman" w:hAnsi="Times New Roman"/>
                <w:bCs/>
                <w:snapToGrid/>
                <w:sz w:val="22"/>
                <w:szCs w:val="22"/>
                <w:lang w:val="en-US"/>
              </w:rPr>
              <w:t>Medicaments</w:t>
            </w:r>
          </w:p>
        </w:tc>
        <w:tc>
          <w:tcPr>
            <w:tcW w:w="2181" w:type="dxa"/>
          </w:tcPr>
          <w:p w14:paraId="6D4DDD08" w14:textId="0564379D" w:rsidR="00B57FC4" w:rsidRPr="00B57FC4" w:rsidRDefault="00B57FC4" w:rsidP="00B57FC4">
            <w:pPr>
              <w:rPr>
                <w:rFonts w:ascii="Times New Roman" w:hAnsi="Times New Roman"/>
                <w:sz w:val="22"/>
                <w:szCs w:val="22"/>
              </w:rPr>
            </w:pPr>
            <w:r w:rsidRPr="00B57FC4">
              <w:rPr>
                <w:rFonts w:ascii="Times New Roman" w:hAnsi="Times New Roman"/>
                <w:sz w:val="22"/>
                <w:szCs w:val="22"/>
              </w:rPr>
              <w:t>Euros 730.00</w:t>
            </w:r>
          </w:p>
        </w:tc>
      </w:tr>
      <w:tr w:rsidR="00B57FC4" w:rsidRPr="005C6DA1" w14:paraId="33BEECCC" w14:textId="77777777" w:rsidTr="00D9543F">
        <w:trPr>
          <w:trHeight w:val="248"/>
        </w:trPr>
        <w:tc>
          <w:tcPr>
            <w:tcW w:w="993" w:type="dxa"/>
          </w:tcPr>
          <w:p w14:paraId="398A8D34" w14:textId="77777777" w:rsidR="00B57FC4" w:rsidRPr="00153329" w:rsidRDefault="00B57FC4" w:rsidP="00B57FC4">
            <w:pPr>
              <w:spacing w:before="0" w:after="0"/>
              <w:jc w:val="both"/>
              <w:outlineLvl w:val="1"/>
              <w:rPr>
                <w:rFonts w:ascii="Times New Roman" w:hAnsi="Times New Roman" w:cs="Arial"/>
                <w:bCs/>
                <w:iCs/>
                <w:snapToGrid/>
                <w:sz w:val="22"/>
                <w:szCs w:val="22"/>
              </w:rPr>
            </w:pPr>
            <w:r w:rsidRPr="00153329">
              <w:rPr>
                <w:rFonts w:ascii="Times New Roman" w:hAnsi="Times New Roman" w:cs="Arial"/>
                <w:bCs/>
                <w:iCs/>
                <w:snapToGrid/>
                <w:sz w:val="22"/>
                <w:szCs w:val="22"/>
              </w:rPr>
              <w:t>Lot 2</w:t>
            </w:r>
          </w:p>
        </w:tc>
        <w:tc>
          <w:tcPr>
            <w:tcW w:w="4190" w:type="dxa"/>
          </w:tcPr>
          <w:p w14:paraId="1357C5AE" w14:textId="77777777" w:rsidR="00B57FC4" w:rsidRPr="00153329" w:rsidRDefault="00B57FC4" w:rsidP="00B57FC4">
            <w:pPr>
              <w:spacing w:before="0" w:after="0"/>
              <w:jc w:val="center"/>
              <w:outlineLvl w:val="0"/>
              <w:rPr>
                <w:rFonts w:ascii="Times New Roman" w:hAnsi="Times New Roman"/>
                <w:bCs/>
                <w:snapToGrid/>
                <w:sz w:val="22"/>
                <w:szCs w:val="22"/>
                <w:lang w:val="en-US"/>
              </w:rPr>
            </w:pPr>
            <w:r w:rsidRPr="00153329">
              <w:rPr>
                <w:rFonts w:ascii="Times New Roman" w:hAnsi="Times New Roman"/>
                <w:bCs/>
                <w:snapToGrid/>
                <w:sz w:val="22"/>
                <w:szCs w:val="22"/>
                <w:lang w:val="en-US"/>
              </w:rPr>
              <w:t xml:space="preserve">Medical </w:t>
            </w:r>
            <w:r>
              <w:rPr>
                <w:rFonts w:ascii="Times New Roman" w:hAnsi="Times New Roman"/>
                <w:bCs/>
                <w:snapToGrid/>
                <w:sz w:val="22"/>
                <w:szCs w:val="22"/>
                <w:lang w:val="en-US"/>
              </w:rPr>
              <w:t>Products</w:t>
            </w:r>
          </w:p>
        </w:tc>
        <w:tc>
          <w:tcPr>
            <w:tcW w:w="2181" w:type="dxa"/>
          </w:tcPr>
          <w:p w14:paraId="29476A1F" w14:textId="17A5E5FB" w:rsidR="00B57FC4" w:rsidRPr="00B57FC4" w:rsidRDefault="00B57FC4" w:rsidP="00B57FC4">
            <w:pPr>
              <w:rPr>
                <w:rFonts w:ascii="Times New Roman" w:hAnsi="Times New Roman"/>
                <w:sz w:val="22"/>
                <w:szCs w:val="22"/>
              </w:rPr>
            </w:pPr>
            <w:r w:rsidRPr="00B57FC4">
              <w:rPr>
                <w:rFonts w:ascii="Times New Roman" w:hAnsi="Times New Roman"/>
                <w:sz w:val="22"/>
                <w:szCs w:val="22"/>
              </w:rPr>
              <w:t>Euros 920.00</w:t>
            </w:r>
          </w:p>
        </w:tc>
      </w:tr>
    </w:tbl>
    <w:p w14:paraId="11893036" w14:textId="77777777" w:rsidR="0082788E" w:rsidRDefault="0082788E" w:rsidP="0082788E">
      <w:pPr>
        <w:jc w:val="both"/>
        <w:outlineLvl w:val="0"/>
        <w:rPr>
          <w:rFonts w:ascii="Times New Roman" w:hAnsi="Times New Roman"/>
          <w:sz w:val="22"/>
          <w:szCs w:val="22"/>
          <w:highlight w:val="lightGray"/>
        </w:rPr>
      </w:pPr>
    </w:p>
    <w:p w14:paraId="7559EA15" w14:textId="63EC746C" w:rsidR="00E65BB2" w:rsidRPr="000B7CA0" w:rsidRDefault="001744F6" w:rsidP="00C07667">
      <w:pPr>
        <w:ind w:left="567"/>
        <w:jc w:val="both"/>
        <w:outlineLvl w:val="0"/>
        <w:rPr>
          <w:rFonts w:ascii="Times New Roman" w:hAnsi="Times New Roman"/>
          <w:sz w:val="22"/>
          <w:szCs w:val="22"/>
        </w:rPr>
      </w:pPr>
      <w:r w:rsidRPr="000B7CA0">
        <w:rPr>
          <w:rFonts w:ascii="Times New Roman" w:hAnsi="Times New Roman"/>
          <w:sz w:val="22"/>
          <w:szCs w:val="22"/>
        </w:rPr>
        <w:lastRenderedPageBreak/>
        <w:t>This guarantee will be released to unsuccessful tenderers once the tender procedure has been completed</w:t>
      </w:r>
      <w:r w:rsidR="00E65BB2" w:rsidRPr="000B7CA0">
        <w:rPr>
          <w:rFonts w:ascii="Times New Roman" w:hAnsi="Times New Roman"/>
          <w:sz w:val="22"/>
          <w:szCs w:val="22"/>
        </w:rPr>
        <w:t>.</w:t>
      </w:r>
      <w:r w:rsidRPr="000B7CA0">
        <w:rPr>
          <w:rFonts w:ascii="Times New Roman" w:hAnsi="Times New Roman"/>
          <w:sz w:val="22"/>
          <w:szCs w:val="22"/>
        </w:rPr>
        <w:t xml:space="preserve"> </w:t>
      </w:r>
      <w:r w:rsidR="00E65BB2" w:rsidRPr="000B7CA0">
        <w:rPr>
          <w:rFonts w:ascii="Times New Roman" w:hAnsi="Times New Roman"/>
          <w:sz w:val="22"/>
          <w:szCs w:val="22"/>
        </w:rPr>
        <w:t xml:space="preserve">The tender guarantee of the successful tenderer will be released on signing of the contract, once the performance guarantee has been submitted. </w:t>
      </w:r>
    </w:p>
    <w:p w14:paraId="07D954B0" w14:textId="118672F8" w:rsidR="001744F6" w:rsidRDefault="001744F6" w:rsidP="00C07667">
      <w:pPr>
        <w:ind w:left="567"/>
        <w:jc w:val="both"/>
        <w:outlineLvl w:val="0"/>
        <w:rPr>
          <w:rFonts w:ascii="Times New Roman" w:hAnsi="Times New Roman"/>
          <w:sz w:val="22"/>
          <w:szCs w:val="22"/>
        </w:rPr>
      </w:pPr>
      <w:r w:rsidRPr="000B7CA0">
        <w:rPr>
          <w:rFonts w:ascii="Times New Roman" w:hAnsi="Times New Roman"/>
          <w:sz w:val="22"/>
          <w:szCs w:val="22"/>
        </w:rPr>
        <w:t>This guarantee will be called upon if the tenderer does not fulfil all obligations stated in its tender.</w:t>
      </w:r>
    </w:p>
    <w:p w14:paraId="1A9EE00F" w14:textId="3EFF7844" w:rsidR="0047783A" w:rsidRPr="00D45256" w:rsidRDefault="00EA1ADC" w:rsidP="00D45256">
      <w:pPr>
        <w:pStyle w:val="Heading1"/>
        <w:rPr>
          <w:lang w:val="en-IE"/>
        </w:rPr>
      </w:pPr>
      <w:bookmarkStart w:id="40" w:name="_Toc41467300"/>
      <w:bookmarkStart w:id="41" w:name="_Toc42488092"/>
      <w:r w:rsidRPr="00D45256">
        <w:rPr>
          <w:lang w:val="en-IE"/>
        </w:rPr>
        <w:t>24.</w:t>
      </w:r>
      <w:r w:rsidR="00092841" w:rsidRPr="00D45256">
        <w:rPr>
          <w:lang w:val="en-IE"/>
        </w:rPr>
        <w:tab/>
      </w:r>
      <w:r w:rsidR="0047783A" w:rsidRPr="00D45256">
        <w:rPr>
          <w:lang w:val="en-IE"/>
        </w:rPr>
        <w:t>Ethics</w:t>
      </w:r>
      <w:r w:rsidR="00D920CD" w:rsidRPr="00D45256">
        <w:rPr>
          <w:lang w:val="en-IE"/>
        </w:rPr>
        <w:t>, values</w:t>
      </w:r>
      <w:r w:rsidR="001E7D1F" w:rsidRPr="00D45256">
        <w:rPr>
          <w:lang w:val="en-IE"/>
        </w:rPr>
        <w:t xml:space="preserve"> </w:t>
      </w:r>
      <w:bookmarkEnd w:id="40"/>
      <w:bookmarkEnd w:id="41"/>
      <w:r w:rsidR="00442FF2" w:rsidRPr="00D45256">
        <w:rPr>
          <w:lang w:val="en-IE"/>
        </w:rPr>
        <w:t>and code of conduct</w:t>
      </w:r>
    </w:p>
    <w:p w14:paraId="5C06588B" w14:textId="15619294"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r w:rsidR="00656270">
        <w:rPr>
          <w:rFonts w:ascii="Times New Roman" w:hAnsi="Times New Roman"/>
          <w:sz w:val="22"/>
          <w:u w:val="single"/>
          <w:lang w:val="en-GB"/>
        </w:rPr>
        <w:t xml:space="preserve"> </w:t>
      </w:r>
      <w:bookmarkStart w:id="42" w:name="_Hlk161239645"/>
      <w:r w:rsidR="00656270" w:rsidRPr="00656270">
        <w:rPr>
          <w:rFonts w:ascii="Times New Roman" w:hAnsi="Times New Roman"/>
          <w:sz w:val="22"/>
          <w:u w:val="single"/>
          <w:lang w:val="en-GB"/>
        </w:rPr>
        <w:t>and of professional conflicting interest</w:t>
      </w:r>
      <w:bookmarkEnd w:id="42"/>
    </w:p>
    <w:p w14:paraId="7A7FB611" w14:textId="1B4F2D0F" w:rsidR="00442FF2" w:rsidRPr="00C348C0" w:rsidRDefault="00442FF2" w:rsidP="00D45256">
      <w:pPr>
        <w:keepNext/>
        <w:ind w:left="567"/>
        <w:jc w:val="both"/>
        <w:rPr>
          <w:rFonts w:ascii="Times New Roman" w:hAnsi="Times New Roman"/>
          <w:sz w:val="22"/>
          <w:szCs w:val="22"/>
        </w:rPr>
      </w:pPr>
      <w:r w:rsidRPr="00C348C0">
        <w:rPr>
          <w:rFonts w:ascii="Times New Roman" w:hAnsi="Times New Roman"/>
          <w:sz w:val="22"/>
          <w:szCs w:val="22"/>
        </w:rPr>
        <w:t xml:space="preserve">The tenderer must not be affected by any </w:t>
      </w:r>
      <w:r w:rsidR="0090127D" w:rsidRPr="00656270">
        <w:rPr>
          <w:rFonts w:ascii="Times New Roman" w:hAnsi="Times New Roman"/>
          <w:sz w:val="22"/>
          <w:u w:val="single"/>
        </w:rPr>
        <w:t>professional conflicting interest</w:t>
      </w:r>
      <w:r w:rsidR="0090127D" w:rsidRPr="00C348C0">
        <w:rPr>
          <w:rFonts w:ascii="Times New Roman" w:hAnsi="Times New Roman"/>
          <w:sz w:val="22"/>
          <w:szCs w:val="22"/>
        </w:rPr>
        <w:t xml:space="preserve"> </w:t>
      </w:r>
      <w:r w:rsidR="00D077D2">
        <w:rPr>
          <w:rFonts w:ascii="Times New Roman" w:hAnsi="Times New Roman"/>
          <w:sz w:val="22"/>
          <w:szCs w:val="22"/>
        </w:rPr>
        <w:t xml:space="preserve">nor any </w:t>
      </w:r>
      <w:r w:rsidRPr="00C348C0">
        <w:rPr>
          <w:rFonts w:ascii="Times New Roman" w:hAnsi="Times New Roman"/>
          <w:sz w:val="22"/>
          <w:szCs w:val="22"/>
        </w:rPr>
        <w:t xml:space="preserve">conflict of interest and must have no equivalent relation in that respect with other tenderers or parties involved in the project. Any </w:t>
      </w:r>
      <w:r w:rsidR="00D920CD">
        <w:rPr>
          <w:rFonts w:ascii="Times New Roman" w:hAnsi="Times New Roman"/>
          <w:sz w:val="22"/>
          <w:szCs w:val="22"/>
        </w:rPr>
        <w:t xml:space="preserve">unduly influence or attempt to unduly influence the evaluation committee or the contracting authority during the process of examining, clarifying, </w:t>
      </w:r>
      <w:r w:rsidR="00567FD8">
        <w:rPr>
          <w:rFonts w:ascii="Times New Roman" w:hAnsi="Times New Roman"/>
          <w:sz w:val="22"/>
          <w:szCs w:val="22"/>
        </w:rPr>
        <w:t>evaluating</w:t>
      </w:r>
      <w:r w:rsidR="00D920CD">
        <w:rPr>
          <w:rFonts w:ascii="Times New Roman" w:hAnsi="Times New Roman"/>
          <w:sz w:val="22"/>
          <w:szCs w:val="22"/>
        </w:rPr>
        <w:t xml:space="preserve"> comparing tenders, any </w:t>
      </w:r>
      <w:r w:rsidRPr="00C348C0">
        <w:rPr>
          <w:rFonts w:ascii="Times New Roman" w:hAnsi="Times New Roman"/>
          <w:sz w:val="22"/>
          <w:szCs w:val="22"/>
        </w:rPr>
        <w:t>attempt to obtain confidential information</w:t>
      </w:r>
      <w:r w:rsidR="00567FD8">
        <w:rPr>
          <w:rFonts w:ascii="Times New Roman" w:hAnsi="Times New Roman"/>
          <w:sz w:val="22"/>
          <w:szCs w:val="22"/>
        </w:rPr>
        <w:t xml:space="preserve"> or</w:t>
      </w:r>
      <w:r w:rsidR="001E7D1F">
        <w:rPr>
          <w:rFonts w:ascii="Times New Roman" w:hAnsi="Times New Roman"/>
          <w:sz w:val="22"/>
          <w:szCs w:val="22"/>
        </w:rPr>
        <w:t xml:space="preserve"> </w:t>
      </w:r>
      <w:r w:rsidRPr="00C348C0">
        <w:rPr>
          <w:rFonts w:ascii="Times New Roman" w:hAnsi="Times New Roman"/>
          <w:sz w:val="22"/>
          <w:szCs w:val="22"/>
        </w:rPr>
        <w:t>enter</w:t>
      </w:r>
      <w:r w:rsidR="00567FD8">
        <w:rPr>
          <w:rFonts w:ascii="Times New Roman" w:hAnsi="Times New Roman"/>
          <w:sz w:val="22"/>
          <w:szCs w:val="22"/>
        </w:rPr>
        <w:t>ing</w:t>
      </w:r>
      <w:r w:rsidRPr="00C348C0">
        <w:rPr>
          <w:rFonts w:ascii="Times New Roman" w:hAnsi="Times New Roman"/>
          <w:sz w:val="22"/>
          <w:szCs w:val="22"/>
        </w:rPr>
        <w:t xml:space="preserve"> into unlawful agreements with competitors will lead to the rejection of its tender and may result in </w:t>
      </w:r>
      <w:r w:rsidR="00567FD8">
        <w:rPr>
          <w:rFonts w:ascii="Times New Roman" w:hAnsi="Times New Roman"/>
          <w:sz w:val="22"/>
          <w:szCs w:val="22"/>
        </w:rPr>
        <w:t>exclusion from future award procedures and/or financial penalties</w:t>
      </w:r>
      <w:r w:rsidRPr="00C348C0">
        <w:rPr>
          <w:rFonts w:ascii="Times New Roman" w:hAnsi="Times New Roman"/>
          <w:sz w:val="22"/>
          <w:szCs w:val="22"/>
        </w:rPr>
        <w:t xml:space="preserve"> according to the Financial Regulation in force. </w:t>
      </w:r>
    </w:p>
    <w:p w14:paraId="61094FB8" w14:textId="77777777" w:rsidR="00201C47" w:rsidRDefault="0047783A" w:rsidP="00201C4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 xml:space="preserve">Respect for human rights </w:t>
      </w:r>
      <w:r w:rsidR="0091417F">
        <w:rPr>
          <w:rFonts w:ascii="Times New Roman" w:hAnsi="Times New Roman"/>
          <w:sz w:val="22"/>
          <w:u w:val="single"/>
          <w:lang w:val="en-GB"/>
        </w:rPr>
        <w:t xml:space="preserve">and EU values </w:t>
      </w:r>
      <w:r w:rsidR="00442FF2" w:rsidRPr="00C348C0">
        <w:rPr>
          <w:rFonts w:ascii="Times New Roman" w:hAnsi="Times New Roman"/>
          <w:sz w:val="22"/>
          <w:u w:val="single"/>
          <w:lang w:val="en-GB"/>
        </w:rPr>
        <w:t>as well as environmental legislation and core labour standards</w:t>
      </w:r>
      <w:r w:rsidR="00442FF2" w:rsidRPr="00442FF2">
        <w:rPr>
          <w:rFonts w:ascii="Times New Roman" w:hAnsi="Times New Roman"/>
          <w:sz w:val="22"/>
          <w:lang w:val="en-GB"/>
        </w:rPr>
        <w:t xml:space="preserve"> </w:t>
      </w:r>
    </w:p>
    <w:p w14:paraId="443DEB16" w14:textId="77777777" w:rsidR="00201C47" w:rsidRPr="00D45256" w:rsidRDefault="002F60F8"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must respect environmental legislation and core labour standards: participants that are awarded the contract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681A45A4" w14:textId="2E5C5506" w:rsidR="00201C47" w:rsidRDefault="002F60F8" w:rsidP="00201C47">
      <w:pPr>
        <w:pStyle w:val="Heading2"/>
        <w:keepNext w:val="0"/>
        <w:ind w:left="567"/>
        <w:jc w:val="both"/>
        <w:rPr>
          <w:rFonts w:ascii="Times New Roman" w:hAnsi="Times New Roman"/>
          <w:sz w:val="22"/>
          <w:szCs w:val="22"/>
          <w:lang w:val="en-GB"/>
        </w:rPr>
      </w:pPr>
      <w:r w:rsidRPr="00D45256">
        <w:rPr>
          <w:rFonts w:ascii="Times New Roman" w:hAnsi="Times New Roman"/>
          <w:sz w:val="22"/>
          <w:szCs w:val="22"/>
          <w:lang w:val="en-GB"/>
        </w:rPr>
        <w:t>The tenderer and its personnel must commit to and ensure the respect of basic EU values, the tenderer and its personnel must comply with basic EU values such as respect for human dignity, freedom, democracy, equality, the rule of law and human rights, including the rights of minorities.</w:t>
      </w:r>
      <w:r w:rsidR="001E7D1F">
        <w:rPr>
          <w:rFonts w:ascii="Times New Roman" w:hAnsi="Times New Roman"/>
          <w:sz w:val="22"/>
          <w:szCs w:val="22"/>
          <w:lang w:val="en-GB"/>
        </w:rPr>
        <w:t xml:space="preserve"> </w:t>
      </w:r>
      <w:r w:rsidR="00442FF2" w:rsidRPr="00D45256">
        <w:rPr>
          <w:rFonts w:ascii="Times New Roman" w:hAnsi="Times New Roman"/>
          <w:sz w:val="22"/>
          <w:szCs w:val="22"/>
          <w:lang w:val="en-GB"/>
        </w:rPr>
        <w:t xml:space="preserve">The tenderer and its </w:t>
      </w:r>
      <w:r w:rsidR="00990FF8" w:rsidRPr="00D45256">
        <w:rPr>
          <w:rFonts w:ascii="Times New Roman" w:hAnsi="Times New Roman"/>
          <w:sz w:val="22"/>
          <w:szCs w:val="22"/>
          <w:lang w:val="en-GB"/>
        </w:rPr>
        <w:t>personnel</w:t>
      </w:r>
      <w:r w:rsidR="00442FF2" w:rsidRPr="00D45256">
        <w:rPr>
          <w:rFonts w:ascii="Times New Roman" w:hAnsi="Times New Roman"/>
          <w:sz w:val="22"/>
          <w:szCs w:val="22"/>
          <w:lang w:val="en-GB"/>
        </w:rPr>
        <w:t xml:space="preserve"> must comply with </w:t>
      </w:r>
      <w:r w:rsidR="00A50D37" w:rsidRPr="00D45256">
        <w:rPr>
          <w:rFonts w:ascii="Times New Roman" w:hAnsi="Times New Roman"/>
          <w:sz w:val="22"/>
          <w:szCs w:val="22"/>
          <w:lang w:val="en-GB"/>
        </w:rPr>
        <w:t>applicable data protection rules</w:t>
      </w:r>
      <w:r w:rsidRPr="00D45256">
        <w:rPr>
          <w:rFonts w:ascii="Times New Roman" w:hAnsi="Times New Roman"/>
          <w:sz w:val="22"/>
          <w:szCs w:val="22"/>
          <w:lang w:val="en-GB"/>
        </w:rPr>
        <w:t xml:space="preserve"> and </w:t>
      </w:r>
      <w:r w:rsidR="00442FF2" w:rsidRPr="00D45256">
        <w:rPr>
          <w:rFonts w:ascii="Times New Roman" w:hAnsi="Times New Roman"/>
          <w:sz w:val="22"/>
          <w:szCs w:val="22"/>
          <w:lang w:val="en-GB"/>
        </w:rPr>
        <w:t>environmental legislation</w:t>
      </w:r>
      <w:r w:rsidR="001E7D1F">
        <w:rPr>
          <w:rFonts w:ascii="Times New Roman" w:hAnsi="Times New Roman"/>
          <w:sz w:val="22"/>
          <w:szCs w:val="22"/>
          <w:lang w:val="en-GB"/>
        </w:rPr>
        <w:t>.</w:t>
      </w:r>
      <w:r w:rsidRPr="00D45256">
        <w:rPr>
          <w:rFonts w:ascii="Times New Roman" w:hAnsi="Times New Roman"/>
          <w:sz w:val="22"/>
          <w:szCs w:val="22"/>
          <w:lang w:val="en-GB"/>
        </w:rPr>
        <w:t xml:space="preserve"> In particular</w:t>
      </w:r>
      <w:r w:rsidR="001E7D1F">
        <w:rPr>
          <w:rFonts w:ascii="Times New Roman" w:hAnsi="Times New Roman"/>
          <w:sz w:val="22"/>
          <w:szCs w:val="22"/>
          <w:lang w:val="en-GB"/>
        </w:rPr>
        <w:t>,</w:t>
      </w:r>
      <w:r w:rsidRPr="00D45256">
        <w:rPr>
          <w:rFonts w:ascii="Times New Roman" w:hAnsi="Times New Roman"/>
          <w:sz w:val="22"/>
          <w:szCs w:val="22"/>
          <w:lang w:val="en-GB"/>
        </w:rPr>
        <w:t xml:space="preserve"> tenderers who have been awarded the contract </w:t>
      </w:r>
      <w:r w:rsidR="001E7D1F">
        <w:rPr>
          <w:rFonts w:ascii="Times New Roman" w:hAnsi="Times New Roman"/>
          <w:sz w:val="22"/>
          <w:szCs w:val="22"/>
          <w:lang w:val="en-GB"/>
        </w:rPr>
        <w:t>m</w:t>
      </w:r>
      <w:r w:rsidRPr="00D45256">
        <w:rPr>
          <w:rFonts w:ascii="Times New Roman" w:hAnsi="Times New Roman"/>
          <w:sz w:val="22"/>
          <w:szCs w:val="22"/>
          <w:lang w:val="en-GB"/>
        </w:rPr>
        <w:t>ust also comply with</w:t>
      </w:r>
      <w:r w:rsidR="00442FF2" w:rsidRPr="00D45256">
        <w:rPr>
          <w:rFonts w:ascii="Times New Roman" w:hAnsi="Times New Roman"/>
          <w:sz w:val="22"/>
          <w:szCs w:val="22"/>
          <w:lang w:val="en-GB"/>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bookmarkStart w:id="43" w:name="_Hlk161249487"/>
    </w:p>
    <w:p w14:paraId="327FAFEF" w14:textId="39A0C7B5" w:rsidR="0091417F" w:rsidRPr="00D45256" w:rsidRDefault="0091417F"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and its personnel must comply with EU values, such as respect for human dignity, freedom, democracy, equality, the rule of law and human rights, including the rights of minorities. </w:t>
      </w:r>
    </w:p>
    <w:bookmarkEnd w:id="43"/>
    <w:p w14:paraId="4A1A75DC"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27368ED0"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092841">
        <w:rPr>
          <w:lang w:val="en-GB"/>
        </w:rPr>
        <w:tab/>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D45256">
      <w:pPr>
        <w:ind w:left="567"/>
        <w:jc w:val="both"/>
        <w:rPr>
          <w:rFonts w:ascii="Times New Roman" w:hAnsi="Times New Roman"/>
          <w:sz w:val="22"/>
        </w:rPr>
      </w:pPr>
      <w:r w:rsidRPr="00C348C0">
        <w:rPr>
          <w:rFonts w:ascii="Times New Roman" w:hAnsi="Times New Roman"/>
          <w:sz w:val="22"/>
          <w:szCs w:val="22"/>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w:t>
      </w:r>
      <w:r w:rsidRPr="00C348C0">
        <w:rPr>
          <w:rFonts w:ascii="Times New Roman" w:hAnsi="Times New Roman"/>
          <w:sz w:val="22"/>
          <w:szCs w:val="22"/>
        </w:rPr>
        <w:lastRenderedPageBreak/>
        <w:t>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037E275F"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567FD8">
        <w:rPr>
          <w:rFonts w:ascii="Times New Roman" w:hAnsi="Times New Roman"/>
          <w:sz w:val="22"/>
          <w:szCs w:val="22"/>
        </w:rPr>
        <w:t>future award procedures</w:t>
      </w:r>
      <w:r w:rsidRPr="00C348C0">
        <w:rPr>
          <w:rFonts w:ascii="Times New Roman" w:hAnsi="Times New Roman"/>
          <w:sz w:val="22"/>
          <w:szCs w:val="22"/>
        </w:rPr>
        <w:t>.</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D45256" w:rsidRDefault="00EA1ADC" w:rsidP="00D45256">
      <w:pPr>
        <w:pStyle w:val="Heading1"/>
        <w:rPr>
          <w:lang w:val="en-IE"/>
        </w:rPr>
      </w:pPr>
      <w:bookmarkStart w:id="44" w:name="_Toc42488093"/>
      <w:r w:rsidRPr="00D45256">
        <w:rPr>
          <w:lang w:val="en-IE"/>
        </w:rPr>
        <w:t>25.</w:t>
      </w:r>
      <w:r w:rsidRPr="00D45256">
        <w:rPr>
          <w:lang w:val="en-IE"/>
        </w:rPr>
        <w:tab/>
      </w:r>
      <w:r w:rsidR="0047783A" w:rsidRPr="00D45256">
        <w:rPr>
          <w:lang w:val="en-IE"/>
        </w:rPr>
        <w:t>Cancellation of the tender procedure</w:t>
      </w:r>
      <w:bookmarkEnd w:id="44"/>
    </w:p>
    <w:p w14:paraId="266FA0E6" w14:textId="77777777" w:rsidR="00032EDE" w:rsidRPr="007125FD" w:rsidRDefault="0047783A" w:rsidP="0047783A">
      <w:pPr>
        <w:pStyle w:val="BodyText"/>
        <w:ind w:left="567"/>
        <w:jc w:val="both"/>
        <w:rPr>
          <w:rFonts w:ascii="Times New Roman" w:hAnsi="Times New Roman"/>
          <w:sz w:val="22"/>
        </w:rPr>
      </w:pPr>
      <w:r w:rsidRPr="007125FD">
        <w:rPr>
          <w:rFonts w:ascii="Times New Roman" w:hAnsi="Times New Roman"/>
          <w:sz w:val="22"/>
        </w:rPr>
        <w:t>I</w:t>
      </w:r>
      <w:r w:rsidR="005005D7" w:rsidRPr="007125FD">
        <w:rPr>
          <w:rFonts w:ascii="Times New Roman" w:hAnsi="Times New Roman"/>
          <w:sz w:val="22"/>
        </w:rPr>
        <w:t>f</w:t>
      </w:r>
      <w:r w:rsidRPr="007125FD">
        <w:rPr>
          <w:rFonts w:ascii="Times New Roman" w:hAnsi="Times New Roman"/>
          <w:sz w:val="22"/>
        </w:rPr>
        <w:t xml:space="preserve"> a tender procedure </w:t>
      </w:r>
      <w:r w:rsidR="005005D7" w:rsidRPr="007125FD">
        <w:rPr>
          <w:rFonts w:ascii="Times New Roman" w:hAnsi="Times New Roman"/>
          <w:sz w:val="22"/>
        </w:rPr>
        <w:t xml:space="preserve">is </w:t>
      </w:r>
      <w:r w:rsidRPr="007125FD">
        <w:rPr>
          <w:rFonts w:ascii="Times New Roman" w:hAnsi="Times New Roman"/>
          <w:sz w:val="22"/>
        </w:rPr>
        <w:t>cancell</w:t>
      </w:r>
      <w:r w:rsidR="005005D7" w:rsidRPr="007125FD">
        <w:rPr>
          <w:rFonts w:ascii="Times New Roman" w:hAnsi="Times New Roman"/>
          <w:sz w:val="22"/>
        </w:rPr>
        <w:t>ed</w:t>
      </w:r>
      <w:r w:rsidRPr="007125FD">
        <w:rPr>
          <w:rFonts w:ascii="Times New Roman" w:hAnsi="Times New Roman"/>
          <w:sz w:val="22"/>
        </w:rPr>
        <w:t xml:space="preserve">, tenderers will be notified by the </w:t>
      </w:r>
      <w:r w:rsidR="00B93930" w:rsidRPr="007125FD">
        <w:rPr>
          <w:rFonts w:ascii="Times New Roman" w:hAnsi="Times New Roman"/>
          <w:sz w:val="22"/>
        </w:rPr>
        <w:t>c</w:t>
      </w:r>
      <w:r w:rsidRPr="007125FD">
        <w:rPr>
          <w:rFonts w:ascii="Times New Roman" w:hAnsi="Times New Roman"/>
          <w:sz w:val="22"/>
        </w:rPr>
        <w:t xml:space="preserve">ontracting </w:t>
      </w:r>
      <w:r w:rsidR="00B93930" w:rsidRPr="007125FD">
        <w:rPr>
          <w:rFonts w:ascii="Times New Roman" w:hAnsi="Times New Roman"/>
          <w:sz w:val="22"/>
        </w:rPr>
        <w:t>a</w:t>
      </w:r>
      <w:r w:rsidRPr="007125FD">
        <w:rPr>
          <w:rFonts w:ascii="Times New Roman" w:hAnsi="Times New Roman"/>
          <w:sz w:val="22"/>
        </w:rPr>
        <w:t xml:space="preserve">uthority. </w:t>
      </w:r>
    </w:p>
    <w:p w14:paraId="3C33C963" w14:textId="136BC497" w:rsidR="0047783A" w:rsidRPr="00E82463" w:rsidRDefault="0047783A" w:rsidP="0047783A">
      <w:pPr>
        <w:pStyle w:val="BodyText"/>
        <w:ind w:left="567"/>
        <w:jc w:val="both"/>
        <w:rPr>
          <w:rFonts w:ascii="Times New Roman" w:hAnsi="Times New Roman"/>
        </w:rPr>
      </w:pPr>
      <w:r w:rsidRPr="007125FD">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D45256" w:rsidRDefault="00EA1ADC" w:rsidP="00D45256">
      <w:pPr>
        <w:pStyle w:val="Heading1"/>
        <w:rPr>
          <w:lang w:val="en-IE"/>
        </w:rPr>
      </w:pPr>
      <w:r w:rsidRPr="00D45256">
        <w:rPr>
          <w:lang w:val="en-IE"/>
        </w:rPr>
        <w:lastRenderedPageBreak/>
        <w:t xml:space="preserve">26. </w:t>
      </w:r>
      <w:r w:rsidRPr="00D45256">
        <w:rPr>
          <w:lang w:val="en-IE"/>
        </w:rPr>
        <w:tab/>
      </w:r>
      <w:r w:rsidR="0047783A" w:rsidRPr="00D45256">
        <w:rPr>
          <w:lang w:val="en-IE"/>
        </w:rPr>
        <w:t>Appeals</w:t>
      </w:r>
    </w:p>
    <w:p w14:paraId="44D32D5F" w14:textId="77777777" w:rsidR="0047783A" w:rsidRPr="00E82463" w:rsidRDefault="0047783A" w:rsidP="00D45256">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19B92794" w:rsidR="00A50D37" w:rsidRPr="009956B4" w:rsidRDefault="00FC6A15" w:rsidP="00D45256">
      <w:pPr>
        <w:keepNext/>
        <w:ind w:left="567" w:hanging="567"/>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w:t>
      </w:r>
      <w:r w:rsidR="00092841">
        <w:rPr>
          <w:rFonts w:ascii="Times New Roman" w:hAnsi="Times New Roman"/>
          <w:b/>
          <w:sz w:val="28"/>
          <w:lang w:val="en-US"/>
        </w:rPr>
        <w:tab/>
      </w:r>
      <w:r w:rsidR="00A50D37" w:rsidRPr="009956B4">
        <w:rPr>
          <w:rFonts w:ascii="Times New Roman" w:hAnsi="Times New Roman"/>
          <w:b/>
          <w:sz w:val="28"/>
          <w:lang w:val="en-US"/>
        </w:rPr>
        <w:t>Data Protection</w:t>
      </w:r>
    </w:p>
    <w:p w14:paraId="328B3CC4" w14:textId="77777777" w:rsidR="00F421B0" w:rsidRDefault="00F421B0" w:rsidP="00F421B0">
      <w:pPr>
        <w:pStyle w:val="BodyText2"/>
        <w:tabs>
          <w:tab w:val="left" w:pos="630"/>
        </w:tabs>
        <w:ind w:left="567"/>
        <w:rPr>
          <w:sz w:val="22"/>
          <w:szCs w:val="22"/>
        </w:rPr>
      </w:pPr>
      <w:r w:rsidRPr="00576D2F">
        <w:rPr>
          <w:sz w:val="22"/>
          <w:szCs w:val="22"/>
        </w:rPr>
        <w:t>Processing of personal data related to this tender procedure, launched by the CSDP Mission acting as the Contracting Authority, takes place in accordance with Council Decision (CFSP) 2025/1161 which established the Mission and with the provisions of the respective contribution agreement CFSP/2025/04/EULEX Kosovo concluded between the European Commission and the Mission.</w:t>
      </w:r>
    </w:p>
    <w:p w14:paraId="22A7098A" w14:textId="77777777" w:rsidR="00F421B0" w:rsidRPr="00576D2F" w:rsidRDefault="00F421B0" w:rsidP="00F421B0">
      <w:pPr>
        <w:pStyle w:val="BodyText2"/>
        <w:tabs>
          <w:tab w:val="left" w:pos="630"/>
        </w:tabs>
        <w:ind w:left="567"/>
        <w:rPr>
          <w:sz w:val="22"/>
          <w:szCs w:val="22"/>
        </w:rPr>
      </w:pPr>
    </w:p>
    <w:p w14:paraId="7D25C0E8" w14:textId="77777777" w:rsidR="00F421B0" w:rsidRDefault="00F421B0" w:rsidP="00F421B0">
      <w:pPr>
        <w:pStyle w:val="BodyText2"/>
        <w:tabs>
          <w:tab w:val="left" w:pos="630"/>
        </w:tabs>
        <w:ind w:left="567"/>
        <w:rPr>
          <w:sz w:val="22"/>
          <w:szCs w:val="22"/>
        </w:rPr>
      </w:pPr>
      <w:r w:rsidRPr="00576D2F">
        <w:rPr>
          <w:sz w:val="22"/>
          <w:szCs w:val="22"/>
        </w:rPr>
        <w:t>The tender procedure and the resulting contract relate to the implementation of an external action funded by the EU, represented by the European Commission.</w:t>
      </w:r>
    </w:p>
    <w:p w14:paraId="2C6672F4" w14:textId="77777777" w:rsidR="00F421B0" w:rsidRPr="00576D2F" w:rsidRDefault="00F421B0" w:rsidP="00F421B0">
      <w:pPr>
        <w:pStyle w:val="BodyText2"/>
        <w:tabs>
          <w:tab w:val="left" w:pos="630"/>
        </w:tabs>
        <w:ind w:left="567"/>
        <w:rPr>
          <w:sz w:val="22"/>
          <w:szCs w:val="22"/>
        </w:rPr>
      </w:pPr>
      <w:r w:rsidRPr="00576D2F">
        <w:rPr>
          <w:sz w:val="22"/>
          <w:szCs w:val="22"/>
        </w:rPr>
        <w:t xml:space="preserve"> </w:t>
      </w:r>
    </w:p>
    <w:p w14:paraId="7154B90E" w14:textId="77777777" w:rsidR="00F421B0" w:rsidRDefault="00F421B0" w:rsidP="00F421B0">
      <w:pPr>
        <w:pStyle w:val="BodyText2"/>
        <w:tabs>
          <w:tab w:val="left" w:pos="630"/>
        </w:tabs>
        <w:ind w:left="567"/>
        <w:rPr>
          <w:sz w:val="22"/>
          <w:szCs w:val="22"/>
        </w:rPr>
      </w:pPr>
      <w:r w:rsidRPr="00576D2F">
        <w:rPr>
          <w:sz w:val="22"/>
          <w:szCs w:val="22"/>
        </w:rPr>
        <w:t xml:space="preserve">Your reply to the invitation to tender may involve the transfer of personal data (such as names, contact details and CVs) from the CSDP Mission (being the Contracting Authority), to the European Commission1.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 2025/1161, which established the Mission. This is without prejudice to their possible transmission to the bodies in charge of monitoring or inspection tasks in application of EU law. </w:t>
      </w:r>
    </w:p>
    <w:p w14:paraId="5A4C33B0" w14:textId="77777777" w:rsidR="00F421B0" w:rsidRPr="00576D2F" w:rsidRDefault="00F421B0" w:rsidP="00F421B0">
      <w:pPr>
        <w:pStyle w:val="BodyText2"/>
        <w:tabs>
          <w:tab w:val="left" w:pos="630"/>
        </w:tabs>
        <w:ind w:left="567"/>
        <w:rPr>
          <w:sz w:val="22"/>
          <w:szCs w:val="22"/>
        </w:rPr>
      </w:pPr>
    </w:p>
    <w:p w14:paraId="3867CC77" w14:textId="77777777" w:rsidR="00F421B0" w:rsidRDefault="00F421B0" w:rsidP="00F421B0">
      <w:pPr>
        <w:pStyle w:val="BodyText2"/>
        <w:tabs>
          <w:tab w:val="left" w:pos="630"/>
        </w:tabs>
        <w:ind w:left="567"/>
        <w:rPr>
          <w:sz w:val="22"/>
          <w:szCs w:val="22"/>
        </w:rPr>
      </w:pPr>
      <w:r w:rsidRPr="00576D2F">
        <w:rPr>
          <w:sz w:val="22"/>
          <w:szCs w:val="22"/>
        </w:rPr>
        <w:t>Details concerning the processing of your personal data by the Contracting Authority (the Mission) are available on the Mission’s privacy statement at URL link here.</w:t>
      </w:r>
    </w:p>
    <w:p w14:paraId="011BCFCB" w14:textId="77777777" w:rsidR="00F421B0" w:rsidRPr="00576D2F" w:rsidRDefault="00F421B0" w:rsidP="00F421B0">
      <w:pPr>
        <w:pStyle w:val="BodyText2"/>
        <w:tabs>
          <w:tab w:val="left" w:pos="630"/>
        </w:tabs>
        <w:ind w:left="567"/>
        <w:rPr>
          <w:sz w:val="22"/>
          <w:szCs w:val="22"/>
        </w:rPr>
      </w:pPr>
    </w:p>
    <w:p w14:paraId="22FF5B11" w14:textId="77777777" w:rsidR="00F421B0" w:rsidRDefault="00F421B0" w:rsidP="00F421B0">
      <w:pPr>
        <w:pStyle w:val="BodyText2"/>
        <w:tabs>
          <w:tab w:val="left" w:pos="630"/>
        </w:tabs>
        <w:ind w:left="567"/>
        <w:rPr>
          <w:sz w:val="22"/>
          <w:szCs w:val="22"/>
        </w:rPr>
      </w:pPr>
      <w:r w:rsidRPr="00576D2F">
        <w:rPr>
          <w:sz w:val="22"/>
          <w:szCs w:val="22"/>
        </w:rPr>
        <w:t xml:space="preserve">The controller for the processing of personal data carried out within the Contracting Authority is: The Head of Mission of the CSDP Mission acting here as the Contracting Authority. </w:t>
      </w:r>
    </w:p>
    <w:p w14:paraId="3955571F" w14:textId="77777777" w:rsidR="00F421B0" w:rsidRPr="00576D2F" w:rsidRDefault="00F421B0" w:rsidP="00F421B0">
      <w:pPr>
        <w:pStyle w:val="BodyText2"/>
        <w:tabs>
          <w:tab w:val="left" w:pos="630"/>
        </w:tabs>
        <w:ind w:left="567"/>
        <w:rPr>
          <w:sz w:val="22"/>
          <w:szCs w:val="22"/>
        </w:rPr>
      </w:pPr>
    </w:p>
    <w:p w14:paraId="19FC0B3B" w14:textId="77777777" w:rsidR="00F421B0" w:rsidRPr="00576D2F" w:rsidRDefault="00F421B0" w:rsidP="00F421B0">
      <w:pPr>
        <w:pStyle w:val="BodyText2"/>
        <w:tabs>
          <w:tab w:val="left" w:pos="630"/>
        </w:tabs>
        <w:ind w:left="567"/>
        <w:rPr>
          <w:sz w:val="22"/>
          <w:szCs w:val="22"/>
        </w:rPr>
      </w:pPr>
      <w:r w:rsidRPr="00576D2F">
        <w:rPr>
          <w:sz w:val="22"/>
          <w:szCs w:val="22"/>
        </w:rPr>
        <w:t>In cases where you are processing personal data in the context of your participation to a tender procedure (e.g. CVs of both key and technical experts), and/or implementation of a contract (e.g. replacement of experts), you shall accordingly inform the data subjects of the possible transmission of their data to this CSDP Mission and communicate the above-mentioned data protection policy to them. Early Detection and Exclusion System</w:t>
      </w:r>
    </w:p>
    <w:p w14:paraId="754792D3" w14:textId="77777777" w:rsidR="00F421B0" w:rsidRPr="00576D2F" w:rsidRDefault="00F421B0" w:rsidP="00F421B0">
      <w:pPr>
        <w:pStyle w:val="BodyText2"/>
        <w:tabs>
          <w:tab w:val="left" w:pos="630"/>
        </w:tabs>
        <w:ind w:left="567"/>
        <w:rPr>
          <w:bCs/>
          <w:sz w:val="22"/>
          <w:szCs w:val="22"/>
        </w:rPr>
      </w:pPr>
    </w:p>
    <w:p w14:paraId="55D891ED" w14:textId="77777777" w:rsidR="00F421B0" w:rsidRPr="00576D2F" w:rsidRDefault="00F421B0" w:rsidP="00F421B0">
      <w:pPr>
        <w:tabs>
          <w:tab w:val="left" w:pos="567"/>
          <w:tab w:val="left" w:pos="630"/>
        </w:tabs>
        <w:ind w:left="567"/>
        <w:jc w:val="both"/>
        <w:rPr>
          <w:rFonts w:ascii="Times New Roman" w:hAnsi="Times New Roman"/>
          <w:sz w:val="22"/>
          <w:szCs w:val="22"/>
          <w:lang w:eastAsia="en-GB"/>
        </w:rPr>
      </w:pPr>
      <w:r w:rsidRPr="00576D2F">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2F4845EF" w14:textId="77777777" w:rsidR="0047783A" w:rsidRPr="00D45256" w:rsidRDefault="00EA1ADC" w:rsidP="00D45256">
      <w:pPr>
        <w:pStyle w:val="Heading1"/>
        <w:rPr>
          <w:bCs/>
          <w:sz w:val="22"/>
          <w:szCs w:val="22"/>
          <w:lang w:val="en-IE"/>
        </w:rPr>
      </w:pPr>
      <w:r w:rsidRPr="00D45256">
        <w:rPr>
          <w:lang w:val="en-IE"/>
        </w:rPr>
        <w:t>28.</w:t>
      </w:r>
      <w:r w:rsidRPr="00D45256">
        <w:rPr>
          <w:lang w:val="en-IE"/>
        </w:rPr>
        <w:tab/>
      </w:r>
      <w:r w:rsidR="0047783A" w:rsidRPr="00D45256">
        <w:rPr>
          <w:lang w:val="en-IE"/>
        </w:rPr>
        <w:t xml:space="preserve">Early </w:t>
      </w:r>
      <w:r w:rsidR="00503427" w:rsidRPr="00D45256">
        <w:rPr>
          <w:lang w:val="en-IE"/>
        </w:rPr>
        <w:t>d</w:t>
      </w:r>
      <w:r w:rsidR="00E603B8" w:rsidRPr="00D45256">
        <w:rPr>
          <w:lang w:val="en-IE"/>
        </w:rPr>
        <w:t xml:space="preserve">etection and </w:t>
      </w:r>
      <w:r w:rsidR="00503427" w:rsidRPr="00D45256">
        <w:rPr>
          <w:lang w:val="en-IE"/>
        </w:rPr>
        <w:t>e</w:t>
      </w:r>
      <w:r w:rsidR="00E603B8" w:rsidRPr="00D45256">
        <w:rPr>
          <w:lang w:val="en-IE"/>
        </w:rPr>
        <w:t xml:space="preserve">xclusion </w:t>
      </w:r>
      <w:r w:rsidR="00503427" w:rsidRPr="00D45256">
        <w:rPr>
          <w:lang w:val="en-IE"/>
        </w:rPr>
        <w:t>s</w:t>
      </w:r>
      <w:r w:rsidR="0047783A" w:rsidRPr="00D45256">
        <w:rPr>
          <w:lang w:val="en-IE"/>
        </w:rPr>
        <w:t>ystem</w:t>
      </w:r>
    </w:p>
    <w:p w14:paraId="02AFB167" w14:textId="09FF581D" w:rsidR="00130EF1" w:rsidRDefault="0047783A" w:rsidP="004C43A5">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w:t>
      </w:r>
      <w:r w:rsidR="00E469FA">
        <w:rPr>
          <w:rFonts w:ascii="Times New Roman" w:hAnsi="Times New Roman"/>
          <w:sz w:val="22"/>
          <w:szCs w:val="22"/>
        </w:rPr>
        <w:t xml:space="preserve">natural or legal person that assumes unlimited liability for the debts, natural or legal person who is essential for the award or the implementation of the legal commitment, beneficial owner or any affiliate of the tender, </w:t>
      </w:r>
      <w:r w:rsidRPr="00C348C0">
        <w:rPr>
          <w:rFonts w:ascii="Times New Roman" w:hAnsi="Times New Roman"/>
          <w:sz w:val="22"/>
          <w:szCs w:val="22"/>
        </w:rPr>
        <w:t xml:space="preserve">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751CB243" w14:textId="77777777" w:rsidR="00A820FC" w:rsidRDefault="00E469FA" w:rsidP="00B57FC4">
      <w:pPr>
        <w:pStyle w:val="BodyText"/>
        <w:ind w:left="567"/>
        <w:jc w:val="both"/>
      </w:pPr>
      <w:r w:rsidRPr="00E469FA">
        <w:rPr>
          <w:rFonts w:ascii="Times New Roman" w:hAnsi="Times New Roman"/>
          <w:sz w:val="22"/>
          <w:szCs w:val="22"/>
        </w:rPr>
        <w:lastRenderedPageBreak/>
        <w:t xml:space="preserve">For more information, you may consult the privacy statement available on </w:t>
      </w:r>
      <w:hyperlink r:id="rId13" w:history="1">
        <w:r w:rsidR="00A90D11" w:rsidRPr="001F117A">
          <w:rPr>
            <w:rStyle w:val="Hyperlink"/>
            <w:rFonts w:ascii="Times New Roman" w:hAnsi="Times New Roman"/>
            <w:sz w:val="22"/>
            <w:szCs w:val="22"/>
          </w:rPr>
          <w:t>http://ec.europa.eu/budget/explained/management/protecting/protect_en.cfm</w:t>
        </w:r>
      </w:hyperlink>
    </w:p>
    <w:p w14:paraId="4EA34D9B" w14:textId="77777777" w:rsidR="00920825" w:rsidRDefault="00920825" w:rsidP="00B57FC4">
      <w:pPr>
        <w:pStyle w:val="BodyText"/>
        <w:ind w:left="567"/>
        <w:jc w:val="both"/>
      </w:pPr>
    </w:p>
    <w:sectPr w:rsidR="00920825" w:rsidSect="00920825">
      <w:footerReference w:type="default" r:id="rId14"/>
      <w:pgSz w:w="11906" w:h="16838"/>
      <w:pgMar w:top="993"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ACB6" w14:textId="77777777" w:rsidR="007007CD" w:rsidRPr="006A5F84" w:rsidRDefault="007007CD">
      <w:r w:rsidRPr="006A5F84">
        <w:separator/>
      </w:r>
    </w:p>
  </w:endnote>
  <w:endnote w:type="continuationSeparator" w:id="0">
    <w:p w14:paraId="0C61794E" w14:textId="77777777" w:rsidR="007007CD" w:rsidRPr="006A5F84" w:rsidRDefault="007007CD">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536C" w14:textId="77777777" w:rsidR="00723015" w:rsidRPr="001C3D34" w:rsidRDefault="00723015" w:rsidP="00723015">
    <w:pPr>
      <w:pStyle w:val="Footer"/>
      <w:tabs>
        <w:tab w:val="clear" w:pos="4320"/>
        <w:tab w:val="clear" w:pos="8640"/>
        <w:tab w:val="right" w:pos="14742"/>
      </w:tabs>
      <w:spacing w:after="0"/>
      <w:ind w:right="6"/>
      <w:rPr>
        <w:rStyle w:val="PageNumber"/>
        <w:rFonts w:ascii="Times New Roman" w:hAnsi="Times New Roman"/>
        <w:b/>
        <w:sz w:val="18"/>
      </w:rPr>
    </w:pPr>
    <w:r>
      <w:rPr>
        <w:rFonts w:ascii="Times New Roman" w:hAnsi="Times New Roman"/>
        <w:b/>
        <w:sz w:val="18"/>
      </w:rPr>
      <w:t>2025</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14</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27</w:t>
    </w:r>
    <w:r w:rsidRPr="009423FB">
      <w:rPr>
        <w:rStyle w:val="PageNumber"/>
        <w:rFonts w:ascii="Times New Roman" w:hAnsi="Times New Roman"/>
        <w:sz w:val="18"/>
        <w:szCs w:val="18"/>
      </w:rPr>
      <w:fldChar w:fldCharType="end"/>
    </w:r>
  </w:p>
  <w:p w14:paraId="69E01120" w14:textId="2A74444B" w:rsidR="00723015" w:rsidRPr="009423FB" w:rsidRDefault="00723015" w:rsidP="009423FB">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c4b_itt_en.docx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F1DC" w14:textId="77777777" w:rsidR="007007CD" w:rsidRPr="006A5F84" w:rsidRDefault="007007CD">
      <w:r w:rsidRPr="006A5F84">
        <w:separator/>
      </w:r>
    </w:p>
  </w:footnote>
  <w:footnote w:type="continuationSeparator" w:id="0">
    <w:p w14:paraId="5DCF33BA" w14:textId="77777777" w:rsidR="007007CD" w:rsidRPr="006A5F84" w:rsidRDefault="007007CD">
      <w:r w:rsidRPr="006A5F84">
        <w:continuationSeparator/>
      </w:r>
    </w:p>
  </w:footnote>
  <w:footnote w:id="1">
    <w:p w14:paraId="20F55BB9" w14:textId="77777777" w:rsidR="00413500" w:rsidRDefault="00413500" w:rsidP="00413500">
      <w:pPr>
        <w:pStyle w:val="FootnoteText"/>
        <w:ind w:left="284" w:hanging="284"/>
        <w:rPr>
          <w:lang w:val="en-GB"/>
        </w:rPr>
      </w:pPr>
      <w:r>
        <w:rPr>
          <w:rStyle w:val="FootnoteReference"/>
        </w:rPr>
        <w:footnoteRef/>
      </w:r>
      <w:r>
        <w:rPr>
          <w:lang w:val="en-GB"/>
        </w:rPr>
        <w:tab/>
      </w:r>
      <w:r w:rsidRPr="004415E1">
        <w:rPr>
          <w:lang w:val="en-GB"/>
        </w:rPr>
        <w:t xml:space="preserve">DAP (Delivered At Place) - Incoterms 2020 International Chamber of Commerce - </w:t>
      </w:r>
      <w:hyperlink r:id="rId1" w:history="1">
        <w:r w:rsidRPr="00920825">
          <w:rPr>
            <w:lang w:val="en-US"/>
          </w:rPr>
          <w:t>http://www.iccwbo.org/incoterms/</w:t>
        </w:r>
      </w:hyperlink>
    </w:p>
  </w:footnote>
  <w:footnote w:id="2">
    <w:p w14:paraId="1021067D" w14:textId="7471076D" w:rsidR="006D653B" w:rsidRPr="00920825" w:rsidRDefault="006D653B" w:rsidP="00723015">
      <w:pPr>
        <w:pStyle w:val="FootnoteText"/>
        <w:rPr>
          <w:lang w:val="en-US"/>
        </w:rPr>
      </w:pPr>
      <w:r>
        <w:rPr>
          <w:rStyle w:val="FootnoteReference"/>
        </w:rPr>
        <w:footnoteRef/>
      </w:r>
      <w:r w:rsidR="001C3D34" w:rsidRPr="00920825">
        <w:rPr>
          <w:lang w:val="en-US"/>
        </w:rPr>
        <w:tab/>
      </w:r>
      <w:r w:rsidRPr="00920825">
        <w:rPr>
          <w:lang w:val="en-US"/>
        </w:rPr>
        <w:t>Please note that the EU Official Journal contains the official list of entities subject to restrictive measures and, in case of conflict, it prevails over the list of the </w:t>
      </w:r>
      <w:hyperlink r:id="rId2" w:anchor="/main" w:tgtFrame="_blank" w:history="1">
        <w:r w:rsidRPr="00E37E17">
          <w:rPr>
            <w:rStyle w:val="Hyperlink"/>
            <w:i/>
            <w:iCs/>
            <w:sz w:val="18"/>
            <w:szCs w:val="18"/>
            <w:lang w:val="en-US"/>
          </w:rPr>
          <w:t>EU Sanctions Map</w:t>
        </w:r>
      </w:hyperlink>
      <w:r w:rsidRPr="00920825">
        <w:rPr>
          <w:lang w:val="en-US"/>
        </w:rPr>
        <w:t>.</w:t>
      </w:r>
    </w:p>
  </w:footnote>
  <w:footnote w:id="3">
    <w:p w14:paraId="7C36EC89" w14:textId="67B40648" w:rsidR="00ED61DF" w:rsidRPr="00920825" w:rsidRDefault="00ED61DF" w:rsidP="00723015">
      <w:pPr>
        <w:pStyle w:val="FootnoteText"/>
        <w:rPr>
          <w:lang w:val="en-US"/>
        </w:rPr>
      </w:pPr>
      <w:r>
        <w:rPr>
          <w:rStyle w:val="FootnoteReference"/>
        </w:rPr>
        <w:footnoteRef/>
      </w:r>
      <w:r w:rsidR="001C3D34" w:rsidRPr="00920825">
        <w:rPr>
          <w:lang w:val="en-US"/>
        </w:rPr>
        <w:tab/>
      </w:r>
      <w:r w:rsidRPr="00920825">
        <w:rPr>
          <w:lang w:val="en-US"/>
        </w:rPr>
        <w:t>See PRAG Section 2.</w:t>
      </w:r>
      <w:r w:rsidR="00EB1B5D" w:rsidRPr="00920825">
        <w:rPr>
          <w:lang w:val="en-US"/>
        </w:rPr>
        <w:t>4.2.3.(1)</w:t>
      </w:r>
    </w:p>
  </w:footnote>
  <w:footnote w:id="4">
    <w:p w14:paraId="621D2B78" w14:textId="79480CEB" w:rsidR="00ED61DF" w:rsidRPr="00920825" w:rsidRDefault="00ED61DF" w:rsidP="00723015">
      <w:pPr>
        <w:pStyle w:val="FootnoteText"/>
        <w:rPr>
          <w:lang w:val="en-US"/>
        </w:rPr>
      </w:pPr>
      <w:r w:rsidRPr="006A5F84">
        <w:rPr>
          <w:rStyle w:val="FootnoteReference"/>
          <w:lang w:val="en-GB"/>
        </w:rPr>
        <w:footnoteRef/>
      </w:r>
      <w:r w:rsidR="00E93A21" w:rsidRPr="00920825">
        <w:rPr>
          <w:lang w:val="en-US"/>
        </w:rPr>
        <w:tab/>
      </w:r>
      <w:r w:rsidRPr="00920825">
        <w:rPr>
          <w:lang w:val="en-US"/>
        </w:rPr>
        <w:t>The currency of tender shall be the currency of the contract and of payment.</w:t>
      </w:r>
    </w:p>
  </w:footnote>
  <w:footnote w:id="5">
    <w:p w14:paraId="1419836C" w14:textId="77777777" w:rsidR="00ED61DF" w:rsidRPr="00920825" w:rsidRDefault="00ED61DF" w:rsidP="00723015">
      <w:pPr>
        <w:pStyle w:val="FootnoteText"/>
        <w:rPr>
          <w:lang w:val="en-US"/>
        </w:rPr>
      </w:pPr>
      <w:r>
        <w:rPr>
          <w:rStyle w:val="FootnoteReference"/>
        </w:rPr>
        <w:footnoteRef/>
      </w:r>
      <w:r w:rsidRPr="00920825">
        <w:rPr>
          <w:lang w:val="en-US"/>
        </w:rPr>
        <w:t xml:space="preserve"> It is recommended to use registered mail in case the postmark would not be readable</w:t>
      </w:r>
    </w:p>
  </w:footnote>
  <w:footnote w:id="6">
    <w:p w14:paraId="31D37E22" w14:textId="18B16D9C" w:rsidR="00ED61DF" w:rsidRPr="00920825" w:rsidRDefault="00ED61DF" w:rsidP="00723015">
      <w:pPr>
        <w:pStyle w:val="FootnoteText"/>
        <w:rPr>
          <w:lang w:val="en-US"/>
        </w:rPr>
      </w:pPr>
      <w:r w:rsidRPr="00A57D6C">
        <w:rPr>
          <w:rStyle w:val="FootnoteReference"/>
          <w:lang w:val="en-GB"/>
        </w:rPr>
        <w:footnoteRef/>
      </w:r>
      <w:r w:rsidR="00E93A21" w:rsidRPr="00920825">
        <w:rPr>
          <w:lang w:val="en-US"/>
        </w:rPr>
        <w:tab/>
      </w:r>
      <w:r w:rsidRPr="00920825">
        <w:rPr>
          <w:lang w:val="en-US"/>
        </w:rPr>
        <w:t xml:space="preserve">[&lt;DDP (Delivered Duty Paid)&gt;] [&lt;DAP (Delivered At Place)&gt;] — Incoterms 2020 International Chamber of Commerce  </w:t>
      </w:r>
      <w:hyperlink r:id="rId3"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974113C"/>
    <w:multiLevelType w:val="hybridMultilevel"/>
    <w:tmpl w:val="AED8405E"/>
    <w:lvl w:ilvl="0" w:tplc="18090001">
      <w:start w:val="1"/>
      <w:numFmt w:val="bullet"/>
      <w:lvlText w:val=""/>
      <w:lvlJc w:val="left"/>
      <w:pPr>
        <w:ind w:left="1495" w:hanging="360"/>
      </w:pPr>
      <w:rPr>
        <w:rFonts w:ascii="Symbol" w:hAnsi="Symbol" w:hint="default"/>
      </w:rPr>
    </w:lvl>
    <w:lvl w:ilvl="1" w:tplc="18090003" w:tentative="1">
      <w:start w:val="1"/>
      <w:numFmt w:val="bullet"/>
      <w:lvlText w:val="o"/>
      <w:lvlJc w:val="left"/>
      <w:pPr>
        <w:ind w:left="2215" w:hanging="360"/>
      </w:pPr>
      <w:rPr>
        <w:rFonts w:ascii="Courier New" w:hAnsi="Courier New" w:cs="Courier New" w:hint="default"/>
      </w:rPr>
    </w:lvl>
    <w:lvl w:ilvl="2" w:tplc="18090005" w:tentative="1">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15"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7444F2"/>
    <w:multiLevelType w:val="hybridMultilevel"/>
    <w:tmpl w:val="988CC0D0"/>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7"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02A92"/>
    <w:multiLevelType w:val="multilevel"/>
    <w:tmpl w:val="B7EA3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4"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AC66C70"/>
    <w:multiLevelType w:val="hybridMultilevel"/>
    <w:tmpl w:val="99CCB154"/>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713322">
    <w:abstractNumId w:val="12"/>
  </w:num>
  <w:num w:numId="2" w16cid:durableId="1955747445">
    <w:abstractNumId w:val="27"/>
  </w:num>
  <w:num w:numId="3" w16cid:durableId="1389453632">
    <w:abstractNumId w:val="11"/>
  </w:num>
  <w:num w:numId="4" w16cid:durableId="1408842436">
    <w:abstractNumId w:val="15"/>
  </w:num>
  <w:num w:numId="5" w16cid:durableId="1352296868">
    <w:abstractNumId w:val="30"/>
  </w:num>
  <w:num w:numId="6" w16cid:durableId="678043995">
    <w:abstractNumId w:val="10"/>
  </w:num>
  <w:num w:numId="7" w16cid:durableId="311720499">
    <w:abstractNumId w:val="6"/>
  </w:num>
  <w:num w:numId="8" w16cid:durableId="1145700428">
    <w:abstractNumId w:val="2"/>
  </w:num>
  <w:num w:numId="9" w16cid:durableId="1579052090">
    <w:abstractNumId w:val="18"/>
  </w:num>
  <w:num w:numId="10" w16cid:durableId="532690303">
    <w:abstractNumId w:val="5"/>
  </w:num>
  <w:num w:numId="11" w16cid:durableId="1871019500">
    <w:abstractNumId w:val="26"/>
  </w:num>
  <w:num w:numId="12" w16cid:durableId="403339021">
    <w:abstractNumId w:val="13"/>
  </w:num>
  <w:num w:numId="13" w16cid:durableId="1833980461">
    <w:abstractNumId w:val="8"/>
  </w:num>
  <w:num w:numId="14" w16cid:durableId="2072649474">
    <w:abstractNumId w:val="24"/>
  </w:num>
  <w:num w:numId="15" w16cid:durableId="291442896">
    <w:abstractNumId w:val="25"/>
  </w:num>
  <w:num w:numId="16" w16cid:durableId="1525287379">
    <w:abstractNumId w:val="9"/>
  </w:num>
  <w:num w:numId="17" w16cid:durableId="1909881739">
    <w:abstractNumId w:val="19"/>
  </w:num>
  <w:num w:numId="18" w16cid:durableId="915630303">
    <w:abstractNumId w:val="12"/>
  </w:num>
  <w:num w:numId="19" w16cid:durableId="1950309605">
    <w:abstractNumId w:val="12"/>
  </w:num>
  <w:num w:numId="20" w16cid:durableId="1324436481">
    <w:abstractNumId w:val="32"/>
  </w:num>
  <w:num w:numId="21" w16cid:durableId="1292786073">
    <w:abstractNumId w:val="21"/>
  </w:num>
  <w:num w:numId="22" w16cid:durableId="1355768147">
    <w:abstractNumId w:val="20"/>
  </w:num>
  <w:num w:numId="23" w16cid:durableId="1937470790">
    <w:abstractNumId w:val="3"/>
  </w:num>
  <w:num w:numId="24" w16cid:durableId="1797332941">
    <w:abstractNumId w:val="12"/>
  </w:num>
  <w:num w:numId="25" w16cid:durableId="2044936980">
    <w:abstractNumId w:val="12"/>
  </w:num>
  <w:num w:numId="26" w16cid:durableId="1408065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26512193">
    <w:abstractNumId w:val="1"/>
  </w:num>
  <w:num w:numId="28" w16cid:durableId="133454078">
    <w:abstractNumId w:val="4"/>
  </w:num>
  <w:num w:numId="29" w16cid:durableId="440806452">
    <w:abstractNumId w:val="31"/>
  </w:num>
  <w:num w:numId="30" w16cid:durableId="1356081706">
    <w:abstractNumId w:val="27"/>
    <w:lvlOverride w:ilvl="0">
      <w:startOverride w:val="20"/>
    </w:lvlOverride>
    <w:lvlOverride w:ilvl="1">
      <w:startOverride w:val="7"/>
    </w:lvlOverride>
  </w:num>
  <w:num w:numId="31" w16cid:durableId="1134979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5533530">
    <w:abstractNumId w:val="23"/>
  </w:num>
  <w:num w:numId="33" w16cid:durableId="1587566683">
    <w:abstractNumId w:val="17"/>
  </w:num>
  <w:num w:numId="34" w16cid:durableId="1034038534">
    <w:abstractNumId w:val="28"/>
  </w:num>
  <w:num w:numId="35" w16cid:durableId="799690020">
    <w:abstractNumId w:val="14"/>
  </w:num>
  <w:num w:numId="36" w16cid:durableId="1042022533">
    <w:abstractNumId w:val="16"/>
  </w:num>
  <w:num w:numId="37" w16cid:durableId="1095439554">
    <w:abstractNumId w:val="27"/>
    <w:lvlOverride w:ilvl="1">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Override>
  </w:num>
  <w:num w:numId="38" w16cid:durableId="2081557170">
    <w:abstractNumId w:val="22"/>
  </w:num>
  <w:num w:numId="39" w16cid:durableId="1562017155">
    <w:abstractNumId w:val="27"/>
    <w:lvlOverride w:ilvl="0">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Override>
    <w:lvlOverride w:ilvl="1">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2F7E"/>
    <w:rsid w:val="00005FE9"/>
    <w:rsid w:val="00007151"/>
    <w:rsid w:val="000076C2"/>
    <w:rsid w:val="00007DCD"/>
    <w:rsid w:val="00010561"/>
    <w:rsid w:val="00010EFB"/>
    <w:rsid w:val="000167B8"/>
    <w:rsid w:val="0002493B"/>
    <w:rsid w:val="00026133"/>
    <w:rsid w:val="00027333"/>
    <w:rsid w:val="00030464"/>
    <w:rsid w:val="00032EDE"/>
    <w:rsid w:val="000364F7"/>
    <w:rsid w:val="00036E25"/>
    <w:rsid w:val="00037C20"/>
    <w:rsid w:val="00040153"/>
    <w:rsid w:val="00040CF1"/>
    <w:rsid w:val="00041516"/>
    <w:rsid w:val="000417E2"/>
    <w:rsid w:val="00043159"/>
    <w:rsid w:val="0004517D"/>
    <w:rsid w:val="00050C50"/>
    <w:rsid w:val="00051AE7"/>
    <w:rsid w:val="00051DD7"/>
    <w:rsid w:val="0005385E"/>
    <w:rsid w:val="00053AE8"/>
    <w:rsid w:val="0005446F"/>
    <w:rsid w:val="00055072"/>
    <w:rsid w:val="00056850"/>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6878"/>
    <w:rsid w:val="00086CD2"/>
    <w:rsid w:val="000879A9"/>
    <w:rsid w:val="00087F35"/>
    <w:rsid w:val="00090987"/>
    <w:rsid w:val="00092841"/>
    <w:rsid w:val="0009286D"/>
    <w:rsid w:val="000947DF"/>
    <w:rsid w:val="000958D8"/>
    <w:rsid w:val="000972FD"/>
    <w:rsid w:val="00097737"/>
    <w:rsid w:val="000A1A71"/>
    <w:rsid w:val="000A3B36"/>
    <w:rsid w:val="000A48F1"/>
    <w:rsid w:val="000A4A2A"/>
    <w:rsid w:val="000A5F76"/>
    <w:rsid w:val="000A7A2C"/>
    <w:rsid w:val="000B013D"/>
    <w:rsid w:val="000B0983"/>
    <w:rsid w:val="000B1236"/>
    <w:rsid w:val="000B79F6"/>
    <w:rsid w:val="000B7CA0"/>
    <w:rsid w:val="000C1D59"/>
    <w:rsid w:val="000C2CD5"/>
    <w:rsid w:val="000C32D7"/>
    <w:rsid w:val="000C4AE6"/>
    <w:rsid w:val="000C6C88"/>
    <w:rsid w:val="000C6E69"/>
    <w:rsid w:val="000D0118"/>
    <w:rsid w:val="000D1B17"/>
    <w:rsid w:val="000D1CDA"/>
    <w:rsid w:val="000D2203"/>
    <w:rsid w:val="000D24E3"/>
    <w:rsid w:val="000D27D0"/>
    <w:rsid w:val="000D2B44"/>
    <w:rsid w:val="000D40DB"/>
    <w:rsid w:val="000D4A00"/>
    <w:rsid w:val="000D4C36"/>
    <w:rsid w:val="000D5F1B"/>
    <w:rsid w:val="000D66C0"/>
    <w:rsid w:val="000E0AE8"/>
    <w:rsid w:val="000E0DB4"/>
    <w:rsid w:val="000E291F"/>
    <w:rsid w:val="000E4C6C"/>
    <w:rsid w:val="000E7B75"/>
    <w:rsid w:val="000F124B"/>
    <w:rsid w:val="000F1339"/>
    <w:rsid w:val="000F1EA7"/>
    <w:rsid w:val="000F5F5F"/>
    <w:rsid w:val="00100085"/>
    <w:rsid w:val="00103348"/>
    <w:rsid w:val="00103913"/>
    <w:rsid w:val="0010447B"/>
    <w:rsid w:val="00104B37"/>
    <w:rsid w:val="0010518E"/>
    <w:rsid w:val="00111B28"/>
    <w:rsid w:val="00111CFF"/>
    <w:rsid w:val="00112739"/>
    <w:rsid w:val="00115916"/>
    <w:rsid w:val="00115A3D"/>
    <w:rsid w:val="001160E5"/>
    <w:rsid w:val="00116A45"/>
    <w:rsid w:val="0012084F"/>
    <w:rsid w:val="00121DE4"/>
    <w:rsid w:val="001239FF"/>
    <w:rsid w:val="00123EDC"/>
    <w:rsid w:val="00124409"/>
    <w:rsid w:val="001252C0"/>
    <w:rsid w:val="0012677D"/>
    <w:rsid w:val="0013002E"/>
    <w:rsid w:val="001302A7"/>
    <w:rsid w:val="001309AB"/>
    <w:rsid w:val="00130EF1"/>
    <w:rsid w:val="001320DF"/>
    <w:rsid w:val="00134586"/>
    <w:rsid w:val="00137352"/>
    <w:rsid w:val="00144A7D"/>
    <w:rsid w:val="0014659F"/>
    <w:rsid w:val="00150767"/>
    <w:rsid w:val="001515E4"/>
    <w:rsid w:val="0015205A"/>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77BF7"/>
    <w:rsid w:val="00180444"/>
    <w:rsid w:val="00181980"/>
    <w:rsid w:val="00182EF4"/>
    <w:rsid w:val="00183955"/>
    <w:rsid w:val="00184D00"/>
    <w:rsid w:val="00185973"/>
    <w:rsid w:val="00185C2F"/>
    <w:rsid w:val="00187253"/>
    <w:rsid w:val="00192430"/>
    <w:rsid w:val="001932AF"/>
    <w:rsid w:val="001937B4"/>
    <w:rsid w:val="00195CE1"/>
    <w:rsid w:val="001976A6"/>
    <w:rsid w:val="001A1207"/>
    <w:rsid w:val="001A2BC4"/>
    <w:rsid w:val="001A64D9"/>
    <w:rsid w:val="001A6C79"/>
    <w:rsid w:val="001B29E8"/>
    <w:rsid w:val="001B38DA"/>
    <w:rsid w:val="001B5454"/>
    <w:rsid w:val="001B660A"/>
    <w:rsid w:val="001C02B6"/>
    <w:rsid w:val="001C3D34"/>
    <w:rsid w:val="001C4EF8"/>
    <w:rsid w:val="001D0532"/>
    <w:rsid w:val="001D20C7"/>
    <w:rsid w:val="001D339B"/>
    <w:rsid w:val="001D4292"/>
    <w:rsid w:val="001D51F8"/>
    <w:rsid w:val="001E377F"/>
    <w:rsid w:val="001E4648"/>
    <w:rsid w:val="001E4A7B"/>
    <w:rsid w:val="001E7D1F"/>
    <w:rsid w:val="001F0DE5"/>
    <w:rsid w:val="001F1580"/>
    <w:rsid w:val="001F410B"/>
    <w:rsid w:val="001F4FB6"/>
    <w:rsid w:val="001F5421"/>
    <w:rsid w:val="001F7658"/>
    <w:rsid w:val="001F7C10"/>
    <w:rsid w:val="002012E1"/>
    <w:rsid w:val="00201C47"/>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1E8"/>
    <w:rsid w:val="002442B7"/>
    <w:rsid w:val="002455C7"/>
    <w:rsid w:val="002456F1"/>
    <w:rsid w:val="002463B3"/>
    <w:rsid w:val="002476C5"/>
    <w:rsid w:val="0025137A"/>
    <w:rsid w:val="002514D1"/>
    <w:rsid w:val="0025177E"/>
    <w:rsid w:val="00251EA1"/>
    <w:rsid w:val="00252123"/>
    <w:rsid w:val="00253324"/>
    <w:rsid w:val="002550DD"/>
    <w:rsid w:val="00255693"/>
    <w:rsid w:val="002560BB"/>
    <w:rsid w:val="002561C8"/>
    <w:rsid w:val="00257CB1"/>
    <w:rsid w:val="002631C5"/>
    <w:rsid w:val="00264ACD"/>
    <w:rsid w:val="0026542C"/>
    <w:rsid w:val="00266552"/>
    <w:rsid w:val="00266C6F"/>
    <w:rsid w:val="00270B57"/>
    <w:rsid w:val="00271700"/>
    <w:rsid w:val="00272A7B"/>
    <w:rsid w:val="00272D32"/>
    <w:rsid w:val="0027489F"/>
    <w:rsid w:val="0028364A"/>
    <w:rsid w:val="00284296"/>
    <w:rsid w:val="00290561"/>
    <w:rsid w:val="00294190"/>
    <w:rsid w:val="00297AE5"/>
    <w:rsid w:val="002A0041"/>
    <w:rsid w:val="002A1860"/>
    <w:rsid w:val="002A2D36"/>
    <w:rsid w:val="002A43CB"/>
    <w:rsid w:val="002A6367"/>
    <w:rsid w:val="002A6CB1"/>
    <w:rsid w:val="002B1865"/>
    <w:rsid w:val="002B6401"/>
    <w:rsid w:val="002B7402"/>
    <w:rsid w:val="002C1EAD"/>
    <w:rsid w:val="002C649A"/>
    <w:rsid w:val="002C7223"/>
    <w:rsid w:val="002D0CE1"/>
    <w:rsid w:val="002D17D2"/>
    <w:rsid w:val="002D1FCC"/>
    <w:rsid w:val="002D2FC0"/>
    <w:rsid w:val="002D4AC1"/>
    <w:rsid w:val="002D6EED"/>
    <w:rsid w:val="002E0A62"/>
    <w:rsid w:val="002E105B"/>
    <w:rsid w:val="002E1FB2"/>
    <w:rsid w:val="002E23F4"/>
    <w:rsid w:val="002E4C1B"/>
    <w:rsid w:val="002F1222"/>
    <w:rsid w:val="002F1E5F"/>
    <w:rsid w:val="002F48D0"/>
    <w:rsid w:val="002F530E"/>
    <w:rsid w:val="002F559C"/>
    <w:rsid w:val="002F60F8"/>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220E"/>
    <w:rsid w:val="00343102"/>
    <w:rsid w:val="0034393A"/>
    <w:rsid w:val="00346DE3"/>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3B2A"/>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3B25"/>
    <w:rsid w:val="0040595A"/>
    <w:rsid w:val="00405BF8"/>
    <w:rsid w:val="00406943"/>
    <w:rsid w:val="004072FA"/>
    <w:rsid w:val="004105A1"/>
    <w:rsid w:val="00413500"/>
    <w:rsid w:val="00413FAE"/>
    <w:rsid w:val="00417269"/>
    <w:rsid w:val="004172A1"/>
    <w:rsid w:val="00420666"/>
    <w:rsid w:val="00420F10"/>
    <w:rsid w:val="00421363"/>
    <w:rsid w:val="0042695A"/>
    <w:rsid w:val="004272A7"/>
    <w:rsid w:val="004300D4"/>
    <w:rsid w:val="004316F0"/>
    <w:rsid w:val="004365AD"/>
    <w:rsid w:val="00437927"/>
    <w:rsid w:val="00442FF2"/>
    <w:rsid w:val="004434F8"/>
    <w:rsid w:val="0045310F"/>
    <w:rsid w:val="004531C7"/>
    <w:rsid w:val="00453BD6"/>
    <w:rsid w:val="004554CB"/>
    <w:rsid w:val="00456FAE"/>
    <w:rsid w:val="004607CD"/>
    <w:rsid w:val="0046122C"/>
    <w:rsid w:val="00461AB4"/>
    <w:rsid w:val="00462394"/>
    <w:rsid w:val="00463F73"/>
    <w:rsid w:val="00466CC1"/>
    <w:rsid w:val="004674C4"/>
    <w:rsid w:val="004723DE"/>
    <w:rsid w:val="00473A75"/>
    <w:rsid w:val="00476547"/>
    <w:rsid w:val="00476D3D"/>
    <w:rsid w:val="004775D2"/>
    <w:rsid w:val="0047783A"/>
    <w:rsid w:val="00482933"/>
    <w:rsid w:val="00483E26"/>
    <w:rsid w:val="0048742A"/>
    <w:rsid w:val="00487730"/>
    <w:rsid w:val="0049088E"/>
    <w:rsid w:val="004925DF"/>
    <w:rsid w:val="004936A8"/>
    <w:rsid w:val="00494168"/>
    <w:rsid w:val="004A0140"/>
    <w:rsid w:val="004A101E"/>
    <w:rsid w:val="004A25BD"/>
    <w:rsid w:val="004A2DBE"/>
    <w:rsid w:val="004A4551"/>
    <w:rsid w:val="004A5CA1"/>
    <w:rsid w:val="004A7ED9"/>
    <w:rsid w:val="004B21D7"/>
    <w:rsid w:val="004B5C33"/>
    <w:rsid w:val="004B7893"/>
    <w:rsid w:val="004C265E"/>
    <w:rsid w:val="004C35B5"/>
    <w:rsid w:val="004C43A5"/>
    <w:rsid w:val="004D20F9"/>
    <w:rsid w:val="004D2FD8"/>
    <w:rsid w:val="004D4FDE"/>
    <w:rsid w:val="004D6D1E"/>
    <w:rsid w:val="004D72C2"/>
    <w:rsid w:val="004E16BB"/>
    <w:rsid w:val="004E68CF"/>
    <w:rsid w:val="004F1264"/>
    <w:rsid w:val="004F2D4B"/>
    <w:rsid w:val="004F5C57"/>
    <w:rsid w:val="004F6EE9"/>
    <w:rsid w:val="004F7E7A"/>
    <w:rsid w:val="005005D7"/>
    <w:rsid w:val="00501FF0"/>
    <w:rsid w:val="0050273F"/>
    <w:rsid w:val="00502B15"/>
    <w:rsid w:val="00503427"/>
    <w:rsid w:val="00505988"/>
    <w:rsid w:val="00506A24"/>
    <w:rsid w:val="005071E3"/>
    <w:rsid w:val="00510A01"/>
    <w:rsid w:val="00515616"/>
    <w:rsid w:val="00516552"/>
    <w:rsid w:val="00521CE8"/>
    <w:rsid w:val="00526740"/>
    <w:rsid w:val="00531CAA"/>
    <w:rsid w:val="00533C8D"/>
    <w:rsid w:val="00535826"/>
    <w:rsid w:val="00536B4A"/>
    <w:rsid w:val="00537189"/>
    <w:rsid w:val="00542B8F"/>
    <w:rsid w:val="00542E0F"/>
    <w:rsid w:val="00545957"/>
    <w:rsid w:val="00552278"/>
    <w:rsid w:val="00553C0A"/>
    <w:rsid w:val="00555BFC"/>
    <w:rsid w:val="00556923"/>
    <w:rsid w:val="00556C83"/>
    <w:rsid w:val="00561872"/>
    <w:rsid w:val="005634B2"/>
    <w:rsid w:val="0056553C"/>
    <w:rsid w:val="00567FD8"/>
    <w:rsid w:val="00570282"/>
    <w:rsid w:val="00574219"/>
    <w:rsid w:val="00575CB0"/>
    <w:rsid w:val="00580F0C"/>
    <w:rsid w:val="00582894"/>
    <w:rsid w:val="00586D6C"/>
    <w:rsid w:val="00587BC9"/>
    <w:rsid w:val="00591F23"/>
    <w:rsid w:val="00593550"/>
    <w:rsid w:val="0059371A"/>
    <w:rsid w:val="00597C67"/>
    <w:rsid w:val="005A2643"/>
    <w:rsid w:val="005A3424"/>
    <w:rsid w:val="005A3D33"/>
    <w:rsid w:val="005B2018"/>
    <w:rsid w:val="005B2185"/>
    <w:rsid w:val="005B2646"/>
    <w:rsid w:val="005B35D7"/>
    <w:rsid w:val="005B75F7"/>
    <w:rsid w:val="005B767B"/>
    <w:rsid w:val="005C0EA1"/>
    <w:rsid w:val="005C1201"/>
    <w:rsid w:val="005C1D41"/>
    <w:rsid w:val="005C3558"/>
    <w:rsid w:val="005D72F7"/>
    <w:rsid w:val="005E0B76"/>
    <w:rsid w:val="005E2EE8"/>
    <w:rsid w:val="005E3183"/>
    <w:rsid w:val="005E7E79"/>
    <w:rsid w:val="005F1EC7"/>
    <w:rsid w:val="005F1F05"/>
    <w:rsid w:val="005F3C51"/>
    <w:rsid w:val="005F3E6B"/>
    <w:rsid w:val="005F62D0"/>
    <w:rsid w:val="005F7A76"/>
    <w:rsid w:val="005F7DC0"/>
    <w:rsid w:val="00601F75"/>
    <w:rsid w:val="00603B4B"/>
    <w:rsid w:val="00613E4C"/>
    <w:rsid w:val="00614A41"/>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2FEF"/>
    <w:rsid w:val="006532E3"/>
    <w:rsid w:val="0065398D"/>
    <w:rsid w:val="00654F04"/>
    <w:rsid w:val="00655336"/>
    <w:rsid w:val="00656270"/>
    <w:rsid w:val="0066145D"/>
    <w:rsid w:val="00661B3C"/>
    <w:rsid w:val="00663BBD"/>
    <w:rsid w:val="0066519D"/>
    <w:rsid w:val="00670E5E"/>
    <w:rsid w:val="00675D72"/>
    <w:rsid w:val="00677500"/>
    <w:rsid w:val="0068247E"/>
    <w:rsid w:val="00682804"/>
    <w:rsid w:val="00684438"/>
    <w:rsid w:val="0069153C"/>
    <w:rsid w:val="00691664"/>
    <w:rsid w:val="006917B2"/>
    <w:rsid w:val="00692095"/>
    <w:rsid w:val="00694259"/>
    <w:rsid w:val="00696FDD"/>
    <w:rsid w:val="006A1D5E"/>
    <w:rsid w:val="006A5F84"/>
    <w:rsid w:val="006B0532"/>
    <w:rsid w:val="006B0AB1"/>
    <w:rsid w:val="006B3EAE"/>
    <w:rsid w:val="006B5B42"/>
    <w:rsid w:val="006C2F05"/>
    <w:rsid w:val="006C513D"/>
    <w:rsid w:val="006D3BA1"/>
    <w:rsid w:val="006D4CEC"/>
    <w:rsid w:val="006D653B"/>
    <w:rsid w:val="006E0EEA"/>
    <w:rsid w:val="006E12B0"/>
    <w:rsid w:val="006E1DB1"/>
    <w:rsid w:val="006E226A"/>
    <w:rsid w:val="006E324F"/>
    <w:rsid w:val="006E3CA5"/>
    <w:rsid w:val="006E4A76"/>
    <w:rsid w:val="006E56FD"/>
    <w:rsid w:val="006E6880"/>
    <w:rsid w:val="006E6DD5"/>
    <w:rsid w:val="006F210E"/>
    <w:rsid w:val="006F320C"/>
    <w:rsid w:val="006F43E5"/>
    <w:rsid w:val="006F7CB5"/>
    <w:rsid w:val="007007CD"/>
    <w:rsid w:val="00702131"/>
    <w:rsid w:val="00703425"/>
    <w:rsid w:val="00703D69"/>
    <w:rsid w:val="00710379"/>
    <w:rsid w:val="00711C72"/>
    <w:rsid w:val="0071243A"/>
    <w:rsid w:val="007125FD"/>
    <w:rsid w:val="00714E54"/>
    <w:rsid w:val="00715B35"/>
    <w:rsid w:val="00716419"/>
    <w:rsid w:val="00723015"/>
    <w:rsid w:val="00723C11"/>
    <w:rsid w:val="00724D0C"/>
    <w:rsid w:val="007253FF"/>
    <w:rsid w:val="007307A9"/>
    <w:rsid w:val="00732AAE"/>
    <w:rsid w:val="00733488"/>
    <w:rsid w:val="00733CA6"/>
    <w:rsid w:val="0073450F"/>
    <w:rsid w:val="00740F25"/>
    <w:rsid w:val="007423EF"/>
    <w:rsid w:val="00742505"/>
    <w:rsid w:val="0075003E"/>
    <w:rsid w:val="0075170F"/>
    <w:rsid w:val="007531D2"/>
    <w:rsid w:val="007533EA"/>
    <w:rsid w:val="0075384B"/>
    <w:rsid w:val="00754D2B"/>
    <w:rsid w:val="00755F6F"/>
    <w:rsid w:val="007563BB"/>
    <w:rsid w:val="007600CA"/>
    <w:rsid w:val="00760195"/>
    <w:rsid w:val="00761E70"/>
    <w:rsid w:val="007625F7"/>
    <w:rsid w:val="007629E1"/>
    <w:rsid w:val="00763B1C"/>
    <w:rsid w:val="007666CD"/>
    <w:rsid w:val="00767390"/>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A2060"/>
    <w:rsid w:val="007B10D9"/>
    <w:rsid w:val="007B15A3"/>
    <w:rsid w:val="007B65DB"/>
    <w:rsid w:val="007C0B91"/>
    <w:rsid w:val="007C0BDD"/>
    <w:rsid w:val="007C1656"/>
    <w:rsid w:val="007C4F61"/>
    <w:rsid w:val="007C6835"/>
    <w:rsid w:val="007C75E0"/>
    <w:rsid w:val="007D02BE"/>
    <w:rsid w:val="007D1893"/>
    <w:rsid w:val="007D5FA2"/>
    <w:rsid w:val="007E0CD5"/>
    <w:rsid w:val="007E122E"/>
    <w:rsid w:val="007E3D5F"/>
    <w:rsid w:val="007E597D"/>
    <w:rsid w:val="007E5CAB"/>
    <w:rsid w:val="007E64C1"/>
    <w:rsid w:val="007F634B"/>
    <w:rsid w:val="007F661B"/>
    <w:rsid w:val="007F6802"/>
    <w:rsid w:val="00800725"/>
    <w:rsid w:val="00802784"/>
    <w:rsid w:val="00803383"/>
    <w:rsid w:val="00806CE0"/>
    <w:rsid w:val="00811ACD"/>
    <w:rsid w:val="00811F58"/>
    <w:rsid w:val="00812003"/>
    <w:rsid w:val="0081263E"/>
    <w:rsid w:val="0081418B"/>
    <w:rsid w:val="00814C3A"/>
    <w:rsid w:val="00815C27"/>
    <w:rsid w:val="008163FF"/>
    <w:rsid w:val="00820AEF"/>
    <w:rsid w:val="008227A5"/>
    <w:rsid w:val="00822E7E"/>
    <w:rsid w:val="008253C8"/>
    <w:rsid w:val="008265FB"/>
    <w:rsid w:val="008272ED"/>
    <w:rsid w:val="0082788E"/>
    <w:rsid w:val="00830ACF"/>
    <w:rsid w:val="00834EA4"/>
    <w:rsid w:val="0084292E"/>
    <w:rsid w:val="00844694"/>
    <w:rsid w:val="00845115"/>
    <w:rsid w:val="00852D81"/>
    <w:rsid w:val="00853F9D"/>
    <w:rsid w:val="0085667F"/>
    <w:rsid w:val="008617F3"/>
    <w:rsid w:val="0086414D"/>
    <w:rsid w:val="008658F6"/>
    <w:rsid w:val="008670ED"/>
    <w:rsid w:val="0086759F"/>
    <w:rsid w:val="00870FD6"/>
    <w:rsid w:val="008718AA"/>
    <w:rsid w:val="00872830"/>
    <w:rsid w:val="008808CB"/>
    <w:rsid w:val="00880D7C"/>
    <w:rsid w:val="008847D1"/>
    <w:rsid w:val="00885882"/>
    <w:rsid w:val="008859E6"/>
    <w:rsid w:val="008915E9"/>
    <w:rsid w:val="00891D12"/>
    <w:rsid w:val="00892CE9"/>
    <w:rsid w:val="008934F5"/>
    <w:rsid w:val="00896B86"/>
    <w:rsid w:val="008A048D"/>
    <w:rsid w:val="008A1182"/>
    <w:rsid w:val="008A2256"/>
    <w:rsid w:val="008A39B7"/>
    <w:rsid w:val="008B2A9C"/>
    <w:rsid w:val="008B647A"/>
    <w:rsid w:val="008C14A7"/>
    <w:rsid w:val="008C284B"/>
    <w:rsid w:val="008C4E79"/>
    <w:rsid w:val="008C5A40"/>
    <w:rsid w:val="008C5DAA"/>
    <w:rsid w:val="008C787A"/>
    <w:rsid w:val="008E40E2"/>
    <w:rsid w:val="008E6C57"/>
    <w:rsid w:val="008E6D20"/>
    <w:rsid w:val="008E7470"/>
    <w:rsid w:val="008E7587"/>
    <w:rsid w:val="008F2E42"/>
    <w:rsid w:val="008F3866"/>
    <w:rsid w:val="008F3B55"/>
    <w:rsid w:val="008F3D27"/>
    <w:rsid w:val="0090127D"/>
    <w:rsid w:val="009018A4"/>
    <w:rsid w:val="009026C6"/>
    <w:rsid w:val="009030B0"/>
    <w:rsid w:val="00905F21"/>
    <w:rsid w:val="0091417F"/>
    <w:rsid w:val="009143FD"/>
    <w:rsid w:val="00917D02"/>
    <w:rsid w:val="00920825"/>
    <w:rsid w:val="00920A51"/>
    <w:rsid w:val="00920DBC"/>
    <w:rsid w:val="00922542"/>
    <w:rsid w:val="009245C1"/>
    <w:rsid w:val="00924BC2"/>
    <w:rsid w:val="009251E3"/>
    <w:rsid w:val="0093582A"/>
    <w:rsid w:val="009423FB"/>
    <w:rsid w:val="00943C7B"/>
    <w:rsid w:val="0094670B"/>
    <w:rsid w:val="00947FC3"/>
    <w:rsid w:val="00950813"/>
    <w:rsid w:val="0095148A"/>
    <w:rsid w:val="009514EC"/>
    <w:rsid w:val="009521D0"/>
    <w:rsid w:val="0095349F"/>
    <w:rsid w:val="00961615"/>
    <w:rsid w:val="0096647C"/>
    <w:rsid w:val="00980A42"/>
    <w:rsid w:val="00985BEF"/>
    <w:rsid w:val="00986D62"/>
    <w:rsid w:val="00990FF8"/>
    <w:rsid w:val="00994AFD"/>
    <w:rsid w:val="009956B4"/>
    <w:rsid w:val="009976B3"/>
    <w:rsid w:val="00997B0F"/>
    <w:rsid w:val="009A313D"/>
    <w:rsid w:val="009A3792"/>
    <w:rsid w:val="009A3A53"/>
    <w:rsid w:val="009A538A"/>
    <w:rsid w:val="009A6F00"/>
    <w:rsid w:val="009B0CF1"/>
    <w:rsid w:val="009B1FBF"/>
    <w:rsid w:val="009B2F1F"/>
    <w:rsid w:val="009B422E"/>
    <w:rsid w:val="009B4D6F"/>
    <w:rsid w:val="009B5A6D"/>
    <w:rsid w:val="009B5FF5"/>
    <w:rsid w:val="009C0688"/>
    <w:rsid w:val="009C0E86"/>
    <w:rsid w:val="009C1AB9"/>
    <w:rsid w:val="009C383D"/>
    <w:rsid w:val="009D012B"/>
    <w:rsid w:val="009D2938"/>
    <w:rsid w:val="009D3181"/>
    <w:rsid w:val="009D5314"/>
    <w:rsid w:val="009D5CB2"/>
    <w:rsid w:val="009E03FC"/>
    <w:rsid w:val="009E04E4"/>
    <w:rsid w:val="009E48A3"/>
    <w:rsid w:val="009E4FC6"/>
    <w:rsid w:val="009E5310"/>
    <w:rsid w:val="009E6BB7"/>
    <w:rsid w:val="009F1371"/>
    <w:rsid w:val="009F3126"/>
    <w:rsid w:val="00A039CA"/>
    <w:rsid w:val="00A04FBF"/>
    <w:rsid w:val="00A05DCA"/>
    <w:rsid w:val="00A068EC"/>
    <w:rsid w:val="00A10D10"/>
    <w:rsid w:val="00A11437"/>
    <w:rsid w:val="00A11F12"/>
    <w:rsid w:val="00A13743"/>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57C22"/>
    <w:rsid w:val="00A57D6C"/>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0D11"/>
    <w:rsid w:val="00A93219"/>
    <w:rsid w:val="00A9509F"/>
    <w:rsid w:val="00AA24A4"/>
    <w:rsid w:val="00AA4766"/>
    <w:rsid w:val="00AA6CE1"/>
    <w:rsid w:val="00AA780B"/>
    <w:rsid w:val="00AB2157"/>
    <w:rsid w:val="00AB26E0"/>
    <w:rsid w:val="00AB29A9"/>
    <w:rsid w:val="00AB3AB0"/>
    <w:rsid w:val="00AB3D38"/>
    <w:rsid w:val="00AB4760"/>
    <w:rsid w:val="00AB5A11"/>
    <w:rsid w:val="00AB5ED5"/>
    <w:rsid w:val="00AB66A5"/>
    <w:rsid w:val="00AC07D4"/>
    <w:rsid w:val="00AC0DE2"/>
    <w:rsid w:val="00AC2621"/>
    <w:rsid w:val="00AC58F6"/>
    <w:rsid w:val="00AC7636"/>
    <w:rsid w:val="00AD0140"/>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C25"/>
    <w:rsid w:val="00B44DC5"/>
    <w:rsid w:val="00B4644C"/>
    <w:rsid w:val="00B4772C"/>
    <w:rsid w:val="00B50CF5"/>
    <w:rsid w:val="00B51209"/>
    <w:rsid w:val="00B525A7"/>
    <w:rsid w:val="00B54093"/>
    <w:rsid w:val="00B569B1"/>
    <w:rsid w:val="00B57FC4"/>
    <w:rsid w:val="00B60082"/>
    <w:rsid w:val="00B61CED"/>
    <w:rsid w:val="00B62C69"/>
    <w:rsid w:val="00B631B7"/>
    <w:rsid w:val="00B63280"/>
    <w:rsid w:val="00B70C0E"/>
    <w:rsid w:val="00B7329A"/>
    <w:rsid w:val="00B76124"/>
    <w:rsid w:val="00B80DE8"/>
    <w:rsid w:val="00B8161D"/>
    <w:rsid w:val="00B84EBC"/>
    <w:rsid w:val="00B86755"/>
    <w:rsid w:val="00B90C14"/>
    <w:rsid w:val="00B926B7"/>
    <w:rsid w:val="00B93930"/>
    <w:rsid w:val="00B965CD"/>
    <w:rsid w:val="00B9691D"/>
    <w:rsid w:val="00B96E4B"/>
    <w:rsid w:val="00B96F5E"/>
    <w:rsid w:val="00BA204C"/>
    <w:rsid w:val="00BA2D4C"/>
    <w:rsid w:val="00BA70CB"/>
    <w:rsid w:val="00BA77FD"/>
    <w:rsid w:val="00BB2075"/>
    <w:rsid w:val="00BB2090"/>
    <w:rsid w:val="00BB2CCE"/>
    <w:rsid w:val="00BB51C8"/>
    <w:rsid w:val="00BB56D3"/>
    <w:rsid w:val="00BB65D4"/>
    <w:rsid w:val="00BB6CB4"/>
    <w:rsid w:val="00BB7E97"/>
    <w:rsid w:val="00BC112C"/>
    <w:rsid w:val="00BC163B"/>
    <w:rsid w:val="00BC200C"/>
    <w:rsid w:val="00BC2F6B"/>
    <w:rsid w:val="00BC3B75"/>
    <w:rsid w:val="00BC46F2"/>
    <w:rsid w:val="00BC6222"/>
    <w:rsid w:val="00BC65EE"/>
    <w:rsid w:val="00BD0512"/>
    <w:rsid w:val="00BD201F"/>
    <w:rsid w:val="00BD2FEA"/>
    <w:rsid w:val="00BD3371"/>
    <w:rsid w:val="00BE34FF"/>
    <w:rsid w:val="00BE3AD8"/>
    <w:rsid w:val="00BF1A9A"/>
    <w:rsid w:val="00BF498A"/>
    <w:rsid w:val="00BF50A2"/>
    <w:rsid w:val="00BF56A6"/>
    <w:rsid w:val="00C0329C"/>
    <w:rsid w:val="00C055D9"/>
    <w:rsid w:val="00C07667"/>
    <w:rsid w:val="00C123BB"/>
    <w:rsid w:val="00C12AF0"/>
    <w:rsid w:val="00C13C29"/>
    <w:rsid w:val="00C144CA"/>
    <w:rsid w:val="00C17310"/>
    <w:rsid w:val="00C17606"/>
    <w:rsid w:val="00C21CF2"/>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492B"/>
    <w:rsid w:val="00C57367"/>
    <w:rsid w:val="00C60DD3"/>
    <w:rsid w:val="00C61055"/>
    <w:rsid w:val="00C61312"/>
    <w:rsid w:val="00C657F9"/>
    <w:rsid w:val="00C720C8"/>
    <w:rsid w:val="00C7322E"/>
    <w:rsid w:val="00C73F5E"/>
    <w:rsid w:val="00C75CCE"/>
    <w:rsid w:val="00C778A1"/>
    <w:rsid w:val="00C80299"/>
    <w:rsid w:val="00C81B22"/>
    <w:rsid w:val="00C8328B"/>
    <w:rsid w:val="00C83317"/>
    <w:rsid w:val="00C84AC6"/>
    <w:rsid w:val="00C85C8A"/>
    <w:rsid w:val="00C85F4A"/>
    <w:rsid w:val="00C86724"/>
    <w:rsid w:val="00C87F4C"/>
    <w:rsid w:val="00C92434"/>
    <w:rsid w:val="00C96B7C"/>
    <w:rsid w:val="00C976DE"/>
    <w:rsid w:val="00C979CE"/>
    <w:rsid w:val="00CA1354"/>
    <w:rsid w:val="00CA1363"/>
    <w:rsid w:val="00CA618A"/>
    <w:rsid w:val="00CA6C68"/>
    <w:rsid w:val="00CA7FAB"/>
    <w:rsid w:val="00CB30AA"/>
    <w:rsid w:val="00CB3E27"/>
    <w:rsid w:val="00CB4E1D"/>
    <w:rsid w:val="00CC1A28"/>
    <w:rsid w:val="00CC4B6D"/>
    <w:rsid w:val="00CC6A3F"/>
    <w:rsid w:val="00CC7CD2"/>
    <w:rsid w:val="00CC7DE2"/>
    <w:rsid w:val="00CD7F25"/>
    <w:rsid w:val="00CD7F92"/>
    <w:rsid w:val="00CE16A1"/>
    <w:rsid w:val="00CE4FDE"/>
    <w:rsid w:val="00CF2D8C"/>
    <w:rsid w:val="00CF2DE2"/>
    <w:rsid w:val="00CF30C4"/>
    <w:rsid w:val="00CF48EA"/>
    <w:rsid w:val="00CF63C2"/>
    <w:rsid w:val="00CF6CFA"/>
    <w:rsid w:val="00D00E91"/>
    <w:rsid w:val="00D02E23"/>
    <w:rsid w:val="00D03108"/>
    <w:rsid w:val="00D04484"/>
    <w:rsid w:val="00D077D2"/>
    <w:rsid w:val="00D07A31"/>
    <w:rsid w:val="00D1398A"/>
    <w:rsid w:val="00D15C09"/>
    <w:rsid w:val="00D16ADA"/>
    <w:rsid w:val="00D17B81"/>
    <w:rsid w:val="00D17EE8"/>
    <w:rsid w:val="00D21056"/>
    <w:rsid w:val="00D243E7"/>
    <w:rsid w:val="00D24469"/>
    <w:rsid w:val="00D24893"/>
    <w:rsid w:val="00D312D2"/>
    <w:rsid w:val="00D31942"/>
    <w:rsid w:val="00D33BE3"/>
    <w:rsid w:val="00D37459"/>
    <w:rsid w:val="00D37E3E"/>
    <w:rsid w:val="00D40ADF"/>
    <w:rsid w:val="00D43612"/>
    <w:rsid w:val="00D44362"/>
    <w:rsid w:val="00D45256"/>
    <w:rsid w:val="00D4697C"/>
    <w:rsid w:val="00D515DB"/>
    <w:rsid w:val="00D52CBF"/>
    <w:rsid w:val="00D54C28"/>
    <w:rsid w:val="00D576CA"/>
    <w:rsid w:val="00D62067"/>
    <w:rsid w:val="00D621D6"/>
    <w:rsid w:val="00D63644"/>
    <w:rsid w:val="00D662AA"/>
    <w:rsid w:val="00D6653E"/>
    <w:rsid w:val="00D66F04"/>
    <w:rsid w:val="00D678AC"/>
    <w:rsid w:val="00D71AF3"/>
    <w:rsid w:val="00D72793"/>
    <w:rsid w:val="00D735D6"/>
    <w:rsid w:val="00D73E36"/>
    <w:rsid w:val="00D75213"/>
    <w:rsid w:val="00D83D1B"/>
    <w:rsid w:val="00D85561"/>
    <w:rsid w:val="00D8732D"/>
    <w:rsid w:val="00D90043"/>
    <w:rsid w:val="00D90831"/>
    <w:rsid w:val="00D920CD"/>
    <w:rsid w:val="00D92BA6"/>
    <w:rsid w:val="00D92FC8"/>
    <w:rsid w:val="00D93F90"/>
    <w:rsid w:val="00D950BA"/>
    <w:rsid w:val="00D979C6"/>
    <w:rsid w:val="00D97FDC"/>
    <w:rsid w:val="00DA4AB8"/>
    <w:rsid w:val="00DA4D57"/>
    <w:rsid w:val="00DB5F3B"/>
    <w:rsid w:val="00DB7EEF"/>
    <w:rsid w:val="00DC0881"/>
    <w:rsid w:val="00DC1645"/>
    <w:rsid w:val="00DC50E2"/>
    <w:rsid w:val="00DC54A0"/>
    <w:rsid w:val="00DC6C9C"/>
    <w:rsid w:val="00DC7EB2"/>
    <w:rsid w:val="00DD005F"/>
    <w:rsid w:val="00DD0624"/>
    <w:rsid w:val="00DD13B0"/>
    <w:rsid w:val="00DD6678"/>
    <w:rsid w:val="00DE13B8"/>
    <w:rsid w:val="00DE19B1"/>
    <w:rsid w:val="00DE378C"/>
    <w:rsid w:val="00DE7055"/>
    <w:rsid w:val="00DE71AB"/>
    <w:rsid w:val="00DF1A94"/>
    <w:rsid w:val="00DF25C5"/>
    <w:rsid w:val="00DF2FF3"/>
    <w:rsid w:val="00DF3134"/>
    <w:rsid w:val="00DF4031"/>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04E"/>
    <w:rsid w:val="00E2682A"/>
    <w:rsid w:val="00E27678"/>
    <w:rsid w:val="00E27B37"/>
    <w:rsid w:val="00E30844"/>
    <w:rsid w:val="00E3200D"/>
    <w:rsid w:val="00E340A7"/>
    <w:rsid w:val="00E34208"/>
    <w:rsid w:val="00E371CD"/>
    <w:rsid w:val="00E37290"/>
    <w:rsid w:val="00E37A55"/>
    <w:rsid w:val="00E41C6F"/>
    <w:rsid w:val="00E45107"/>
    <w:rsid w:val="00E452BC"/>
    <w:rsid w:val="00E469FA"/>
    <w:rsid w:val="00E47B5D"/>
    <w:rsid w:val="00E47F4C"/>
    <w:rsid w:val="00E52467"/>
    <w:rsid w:val="00E52D98"/>
    <w:rsid w:val="00E544F9"/>
    <w:rsid w:val="00E54B1B"/>
    <w:rsid w:val="00E571E1"/>
    <w:rsid w:val="00E57809"/>
    <w:rsid w:val="00E603B8"/>
    <w:rsid w:val="00E60A37"/>
    <w:rsid w:val="00E6170C"/>
    <w:rsid w:val="00E62221"/>
    <w:rsid w:val="00E62923"/>
    <w:rsid w:val="00E62F5F"/>
    <w:rsid w:val="00E637DD"/>
    <w:rsid w:val="00E65BB2"/>
    <w:rsid w:val="00E66FD7"/>
    <w:rsid w:val="00E71C9B"/>
    <w:rsid w:val="00E72143"/>
    <w:rsid w:val="00E730A5"/>
    <w:rsid w:val="00E75503"/>
    <w:rsid w:val="00E80269"/>
    <w:rsid w:val="00E811F3"/>
    <w:rsid w:val="00E82463"/>
    <w:rsid w:val="00E84351"/>
    <w:rsid w:val="00E84F50"/>
    <w:rsid w:val="00E85F91"/>
    <w:rsid w:val="00E93182"/>
    <w:rsid w:val="00E932EE"/>
    <w:rsid w:val="00E93A21"/>
    <w:rsid w:val="00E94212"/>
    <w:rsid w:val="00E96D0F"/>
    <w:rsid w:val="00E97519"/>
    <w:rsid w:val="00EA1ADC"/>
    <w:rsid w:val="00EA23A7"/>
    <w:rsid w:val="00EA75C1"/>
    <w:rsid w:val="00EB1B5D"/>
    <w:rsid w:val="00EB295F"/>
    <w:rsid w:val="00EB3B91"/>
    <w:rsid w:val="00EB560F"/>
    <w:rsid w:val="00EB78F4"/>
    <w:rsid w:val="00EC0770"/>
    <w:rsid w:val="00EC0DD2"/>
    <w:rsid w:val="00EC16F8"/>
    <w:rsid w:val="00EC2910"/>
    <w:rsid w:val="00EC2A8D"/>
    <w:rsid w:val="00EC48C8"/>
    <w:rsid w:val="00EC4FD6"/>
    <w:rsid w:val="00EC571A"/>
    <w:rsid w:val="00EC67B1"/>
    <w:rsid w:val="00ED0949"/>
    <w:rsid w:val="00ED13D2"/>
    <w:rsid w:val="00ED219D"/>
    <w:rsid w:val="00ED3206"/>
    <w:rsid w:val="00ED61DF"/>
    <w:rsid w:val="00EE0ED9"/>
    <w:rsid w:val="00EE109E"/>
    <w:rsid w:val="00EE23B1"/>
    <w:rsid w:val="00EE2E55"/>
    <w:rsid w:val="00EE382A"/>
    <w:rsid w:val="00EE3EB0"/>
    <w:rsid w:val="00EE6BC0"/>
    <w:rsid w:val="00EE7E2A"/>
    <w:rsid w:val="00EF08B7"/>
    <w:rsid w:val="00EF1C05"/>
    <w:rsid w:val="00EF24F6"/>
    <w:rsid w:val="00EF2700"/>
    <w:rsid w:val="00EF277A"/>
    <w:rsid w:val="00EF3951"/>
    <w:rsid w:val="00EF6426"/>
    <w:rsid w:val="00F01A04"/>
    <w:rsid w:val="00F02006"/>
    <w:rsid w:val="00F035E0"/>
    <w:rsid w:val="00F041A6"/>
    <w:rsid w:val="00F0574A"/>
    <w:rsid w:val="00F10944"/>
    <w:rsid w:val="00F163FF"/>
    <w:rsid w:val="00F166D4"/>
    <w:rsid w:val="00F16860"/>
    <w:rsid w:val="00F25C38"/>
    <w:rsid w:val="00F33A99"/>
    <w:rsid w:val="00F35DE1"/>
    <w:rsid w:val="00F404DB"/>
    <w:rsid w:val="00F40E0E"/>
    <w:rsid w:val="00F421B0"/>
    <w:rsid w:val="00F42488"/>
    <w:rsid w:val="00F45106"/>
    <w:rsid w:val="00F4528C"/>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5673"/>
    <w:rsid w:val="00FC6A15"/>
    <w:rsid w:val="00FC6AA4"/>
    <w:rsid w:val="00FD23CD"/>
    <w:rsid w:val="00FD4F5A"/>
    <w:rsid w:val="00FD68B9"/>
    <w:rsid w:val="00FD6CB9"/>
    <w:rsid w:val="00FD7D89"/>
    <w:rsid w:val="00FE3081"/>
    <w:rsid w:val="00FE3E3B"/>
    <w:rsid w:val="00FE7D87"/>
    <w:rsid w:val="00FF0134"/>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219"/>
    <w:pPr>
      <w:spacing w:before="120" w:after="120"/>
    </w:pPr>
    <w:rPr>
      <w:rFonts w:ascii="Arial" w:hAnsi="Arial"/>
      <w:snapToGrid w:val="0"/>
      <w:lang w:eastAsia="en-US"/>
    </w:rPr>
  </w:style>
  <w:style w:type="paragraph" w:styleId="Heading1">
    <w:name w:val="heading 1"/>
    <w:aliases w:val=" Car,Car"/>
    <w:basedOn w:val="Normal"/>
    <w:next w:val="Normal"/>
    <w:link w:val="Heading1Char1"/>
    <w:autoRedefine/>
    <w:qFormat/>
    <w:rsid w:val="00D45256"/>
    <w:pPr>
      <w:keepNext/>
      <w:spacing w:before="240"/>
      <w:ind w:left="567" w:hanging="567"/>
      <w:jc w:val="both"/>
      <w:outlineLvl w:val="0"/>
    </w:pPr>
    <w:rPr>
      <w:rFonts w:ascii="Times New Roman" w:hAnsi="Times New Roman"/>
      <w:b/>
      <w:sz w:val="28"/>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qFormat/>
    <w:rsid w:val="00723015"/>
    <w:pPr>
      <w:spacing w:before="0" w:after="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pPr>
    <w:rPr>
      <w:bCs/>
      <w:iCs/>
      <w:sz w:val="24"/>
      <w:szCs w:val="24"/>
    </w:rPr>
  </w:style>
  <w:style w:type="character" w:customStyle="1" w:styleId="Heading2Char">
    <w:name w:val="Heading 2 Char"/>
    <w:aliases w:val="Heading 2 Char Char Car Char,Heading 2 Char Char Char"/>
    <w:link w:val="Heading2"/>
    <w:locked/>
    <w:rsid w:val="0047783A"/>
    <w:rPr>
      <w:rFonts w:ascii="Arial" w:hAnsi="Arial"/>
      <w:snapToGrid w:val="0"/>
      <w:lang w:val="fr-BE" w:eastAsia="en-US" w:bidi="ar-SA"/>
    </w:rPr>
  </w:style>
  <w:style w:type="character" w:customStyle="1" w:styleId="Heading1Char1">
    <w:name w:val="Heading 1 Char1"/>
    <w:aliases w:val=" Car Char,Car Char"/>
    <w:link w:val="Heading1"/>
    <w:rsid w:val="00D45256"/>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723015"/>
    <w:rPr>
      <w:snapToGrid w:val="0"/>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styleId="UnresolvedMention">
    <w:name w:val="Unresolved Mention"/>
    <w:basedOn w:val="DefaultParagraphFont"/>
    <w:uiPriority w:val="99"/>
    <w:semiHidden/>
    <w:unhideWhenUsed/>
    <w:rsid w:val="00561872"/>
    <w:rPr>
      <w:color w:val="605E5C"/>
      <w:shd w:val="clear" w:color="auto" w:fill="E1DFDD"/>
    </w:rPr>
  </w:style>
  <w:style w:type="paragraph" w:customStyle="1" w:styleId="CharCharChar">
    <w:name w:val="Char Char Char"/>
    <w:basedOn w:val="Normal"/>
    <w:link w:val="FootnoteReference"/>
    <w:rsid w:val="00DF4031"/>
    <w:pPr>
      <w:spacing w:before="0" w:after="0" w:line="240" w:lineRule="exact"/>
    </w:pPr>
    <w:rPr>
      <w:rFonts w:ascii="Times New Roman" w:hAnsi="Times New Roman"/>
      <w:snapToGrid/>
      <w:vertAlign w:val="superscript"/>
      <w:lang w:eastAsia="en-GB"/>
    </w:rPr>
  </w:style>
  <w:style w:type="numbering" w:customStyle="1" w:styleId="Style3233">
    <w:name w:val="Style3233"/>
    <w:rsid w:val="00505988"/>
  </w:style>
  <w:style w:type="numbering" w:customStyle="1" w:styleId="Style326">
    <w:name w:val="Style326"/>
    <w:rsid w:val="00655336"/>
  </w:style>
  <w:style w:type="paragraph" w:styleId="NormalWeb">
    <w:name w:val="Normal (Web)"/>
    <w:basedOn w:val="Normal"/>
    <w:rsid w:val="0082788E"/>
    <w:pPr>
      <w:spacing w:before="100" w:beforeAutospacing="1" w:after="100" w:afterAutospacing="1"/>
    </w:pPr>
    <w:rPr>
      <w:rFonts w:ascii="Times New Roman" w:hAnsi="Times New Roman"/>
      <w:snapToGrid/>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59436141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yperlink" Target="http://ec.europa.eu/budget/explained/management/protecting/protect_e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eulex-kosovo.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lex-kosovo.eu/?page=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eulex-kosovo.eu"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s://www.sanctionsmap.eu/"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DEC8-C523-4F60-B7E6-98FC9B39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6440</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41825</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Radu Ghizdeanu</cp:lastModifiedBy>
  <cp:revision>12</cp:revision>
  <cp:lastPrinted>2018-04-13T13:21:00Z</cp:lastPrinted>
  <dcterms:created xsi:type="dcterms:W3CDTF">2025-06-24T07:48:00Z</dcterms:created>
  <dcterms:modified xsi:type="dcterms:W3CDTF">2025-08-06T12:32:00Z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2023-04-04T08:25:04Z</vt:lpwstr>
  </property>
  <property fmtid="{D5CDD505-2E9C-101B-9397-08002B2CF9AE}" pid="10" name="MSIP_Label_6bd9ddd1-4d20-43f6-abfa-fc3c07406f94_Method">
    <vt:lpwstr>Privileged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ee81b4b7-452f-47a1-9376-022cade272e5</vt:lpwstr>
  </property>
  <property fmtid="{D5CDD505-2E9C-101B-9397-08002B2CF9AE}" pid="14" name="MSIP_Label_6bd9ddd1-4d20-43f6-abfa-fc3c07406f94_ContentBits">
    <vt:lpwstr>0</vt:lpwstr>
  </property>
</Properties>
</file>