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219175" w14:textId="4FEBAD23" w:rsidR="00EB29EB" w:rsidRDefault="00DB35A9" w:rsidP="000E4981">
      <w:pPr>
        <w:spacing w:beforeAutospacing="1" w:afterAutospacing="1"/>
        <w:rPr>
          <w:rStyle w:val="Strong"/>
          <w:sz w:val="22"/>
          <w:szCs w:val="22"/>
          <w:highlight w:val="lightGray"/>
          <w:u w:val="single"/>
          <w:lang w:val="en-GB"/>
        </w:rPr>
      </w:pPr>
      <w:r w:rsidRPr="00CB244C">
        <w:rPr>
          <w:b/>
          <w:sz w:val="22"/>
          <w:szCs w:val="22"/>
          <w:u w:val="single"/>
        </w:rPr>
        <w:t>CALL FOR TENDER</w:t>
      </w:r>
      <w:r w:rsidR="00297B55" w:rsidRPr="00CB244C">
        <w:rPr>
          <w:b/>
          <w:sz w:val="22"/>
          <w:szCs w:val="22"/>
          <w:u w:val="single"/>
        </w:rPr>
        <w:t>: GENERAL INFORMATION</w:t>
      </w:r>
      <w:r w:rsidR="00BE279A">
        <w:rPr>
          <w:b/>
          <w:sz w:val="22"/>
          <w:szCs w:val="22"/>
          <w:u w:val="single"/>
        </w:rPr>
        <w:t xml:space="preserve"> </w:t>
      </w:r>
      <w:r w:rsidR="007C201A">
        <w:rPr>
          <w:b/>
          <w:sz w:val="22"/>
          <w:szCs w:val="22"/>
          <w:u w:val="single"/>
        </w:rPr>
        <w:br/>
      </w:r>
    </w:p>
    <w:p w14:paraId="5B463A74" w14:textId="20D5F785" w:rsidR="00EF74CF" w:rsidRPr="00F3539A" w:rsidRDefault="00EF74CF" w:rsidP="000E4981">
      <w:pPr>
        <w:spacing w:beforeAutospacing="1" w:afterAutospacing="1"/>
        <w:rPr>
          <w:rStyle w:val="Strong"/>
          <w:sz w:val="22"/>
          <w:szCs w:val="22"/>
          <w:highlight w:val="lightGray"/>
          <w:u w:val="single"/>
          <w:lang w:val="en-GB"/>
        </w:rPr>
      </w:pPr>
      <w:r w:rsidRPr="00F3539A">
        <w:rPr>
          <w:rStyle w:val="Strong"/>
          <w:sz w:val="22"/>
          <w:szCs w:val="22"/>
          <w:highlight w:val="lightGray"/>
          <w:u w:val="single"/>
          <w:lang w:val="en-GB"/>
        </w:rPr>
        <w:t>I.1) Name and address Contracting Authority</w:t>
      </w:r>
    </w:p>
    <w:p w14:paraId="0E91DBEF" w14:textId="77777777" w:rsidR="00E157C0" w:rsidRPr="001A795B" w:rsidRDefault="00E157C0" w:rsidP="00E157C0">
      <w:pPr>
        <w:pStyle w:val="ListParagraph"/>
        <w:spacing w:before="0" w:after="0"/>
        <w:ind w:left="0"/>
        <w:rPr>
          <w:bCs/>
          <w:sz w:val="22"/>
          <w:szCs w:val="22"/>
        </w:rPr>
      </w:pPr>
      <w:r w:rsidRPr="001A795B">
        <w:rPr>
          <w:bCs/>
          <w:sz w:val="22"/>
          <w:szCs w:val="22"/>
        </w:rPr>
        <w:t>EULEX Kosovo – Procurement Section</w:t>
      </w:r>
    </w:p>
    <w:p w14:paraId="0CAF2A88" w14:textId="77777777" w:rsidR="00E157C0" w:rsidRPr="001A795B" w:rsidRDefault="00E157C0" w:rsidP="00E157C0">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36FF5A8E"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7D41C76F"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5F8CE2F6" w:rsidR="00EF74CF" w:rsidRPr="00D53856" w:rsidRDefault="00E157C0" w:rsidP="00E157C0">
      <w:pPr>
        <w:outlineLvl w:val="0"/>
        <w:rPr>
          <w:rStyle w:val="Strong"/>
          <w:b w:val="0"/>
          <w:sz w:val="22"/>
          <w:szCs w:val="22"/>
          <w:lang w:val="en-GB"/>
        </w:rPr>
      </w:pPr>
      <w:r w:rsidRPr="001A795B">
        <w:rPr>
          <w:sz w:val="22"/>
          <w:szCs w:val="22"/>
          <w:lang w:val="es-ES_tradnl"/>
        </w:rPr>
        <w:t>10000 Pristina, Kosovo</w:t>
      </w:r>
    </w:p>
    <w:p w14:paraId="5B087191" w14:textId="77777777" w:rsidR="00B97181" w:rsidRDefault="00B513FE" w:rsidP="00EF74CF">
      <w:pPr>
        <w:outlineLvl w:val="0"/>
        <w:rPr>
          <w:sz w:val="22"/>
          <w:szCs w:val="22"/>
          <w:lang w:val="fr-FR"/>
        </w:rPr>
      </w:pPr>
      <w:r>
        <w:rPr>
          <w:rStyle w:val="Strong"/>
          <w:sz w:val="22"/>
          <w:szCs w:val="22"/>
          <w:highlight w:val="lightGray"/>
          <w:u w:val="single"/>
          <w:lang w:val="en-GB"/>
        </w:rPr>
        <w:br/>
      </w:r>
      <w:r w:rsidRPr="007C201A">
        <w:rPr>
          <w:rStyle w:val="Strong"/>
          <w:sz w:val="22"/>
          <w:szCs w:val="22"/>
          <w:highlight w:val="lightGray"/>
          <w:u w:val="single"/>
          <w:lang w:val="en-GB"/>
        </w:rPr>
        <w:t>II.1.1)</w:t>
      </w:r>
      <w:r w:rsidR="007C201A" w:rsidRPr="007C201A">
        <w:rPr>
          <w:rStyle w:val="Strong"/>
          <w:sz w:val="22"/>
          <w:szCs w:val="22"/>
          <w:u w:val="single"/>
          <w:lang w:val="en-GB"/>
        </w:rPr>
        <w:t xml:space="preserve"> </w:t>
      </w:r>
      <w:r w:rsidRPr="007C201A">
        <w:rPr>
          <w:rStyle w:val="Strong"/>
          <w:sz w:val="22"/>
          <w:szCs w:val="22"/>
          <w:highlight w:val="lightGray"/>
          <w:u w:val="single"/>
          <w:lang w:val="en-GB"/>
        </w:rPr>
        <w:t>Title:</w:t>
      </w:r>
      <w:r w:rsidRPr="00B513FE">
        <w:rPr>
          <w:rStyle w:val="Strong"/>
          <w:b w:val="0"/>
          <w:sz w:val="22"/>
          <w:szCs w:val="22"/>
          <w:highlight w:val="lightGray"/>
          <w:lang w:val="en-GB"/>
        </w:rPr>
        <w:t xml:space="preserve"> </w:t>
      </w:r>
      <w:r w:rsidR="007C201A">
        <w:rPr>
          <w:rStyle w:val="Strong"/>
          <w:b w:val="0"/>
          <w:sz w:val="22"/>
          <w:szCs w:val="22"/>
          <w:highlight w:val="lightGray"/>
          <w:lang w:val="en-GB"/>
        </w:rPr>
        <w:br/>
      </w:r>
      <w:r w:rsidR="007C201A" w:rsidRPr="00E157C0">
        <w:rPr>
          <w:rStyle w:val="Strong"/>
          <w:b w:val="0"/>
          <w:sz w:val="22"/>
          <w:szCs w:val="22"/>
          <w:highlight w:val="lightGray"/>
          <w:lang w:val="en-GB"/>
        </w:rPr>
        <w:br/>
      </w:r>
      <w:r w:rsidR="00B97181" w:rsidRPr="00B97181">
        <w:rPr>
          <w:sz w:val="22"/>
          <w:szCs w:val="22"/>
          <w:lang w:val="fr-FR"/>
        </w:rPr>
        <w:t xml:space="preserve">Rental and Maintenance of </w:t>
      </w:r>
      <w:proofErr w:type="spellStart"/>
      <w:r w:rsidR="00B97181" w:rsidRPr="00B97181">
        <w:rPr>
          <w:sz w:val="22"/>
          <w:szCs w:val="22"/>
          <w:lang w:val="fr-FR"/>
        </w:rPr>
        <w:t>Hybrid</w:t>
      </w:r>
      <w:proofErr w:type="spellEnd"/>
      <w:r w:rsidR="00B97181" w:rsidRPr="00B97181">
        <w:rPr>
          <w:sz w:val="22"/>
          <w:szCs w:val="22"/>
          <w:lang w:val="fr-FR"/>
        </w:rPr>
        <w:t xml:space="preserve"> </w:t>
      </w:r>
      <w:proofErr w:type="spellStart"/>
      <w:r w:rsidR="00B97181" w:rsidRPr="00B97181">
        <w:rPr>
          <w:sz w:val="22"/>
          <w:szCs w:val="22"/>
          <w:lang w:val="fr-FR"/>
        </w:rPr>
        <w:t>vehicles</w:t>
      </w:r>
      <w:proofErr w:type="spellEnd"/>
    </w:p>
    <w:p w14:paraId="3AA199CF" w14:textId="77777777" w:rsidR="00B97181" w:rsidRDefault="00B97181" w:rsidP="00EF74CF">
      <w:pPr>
        <w:outlineLvl w:val="0"/>
        <w:rPr>
          <w:rStyle w:val="Strong"/>
          <w:sz w:val="22"/>
          <w:szCs w:val="22"/>
          <w:u w:val="single"/>
          <w:lang w:val="en-GB"/>
        </w:rPr>
      </w:pPr>
      <w:r w:rsidRPr="00B97181">
        <w:rPr>
          <w:rStyle w:val="Strong"/>
          <w:sz w:val="22"/>
          <w:szCs w:val="22"/>
          <w:highlight w:val="lightGray"/>
          <w:u w:val="single"/>
          <w:lang w:val="en-GB"/>
        </w:rPr>
        <w:t>II.1.2) Main CPV</w:t>
      </w:r>
      <w:r w:rsidRPr="00B97181">
        <w:rPr>
          <w:rStyle w:val="Strong"/>
          <w:b w:val="0"/>
          <w:highlight w:val="lightGray"/>
        </w:rPr>
        <w:footnoteReference w:id="1"/>
      </w:r>
      <w:r w:rsidRPr="00B97181">
        <w:rPr>
          <w:rStyle w:val="Strong"/>
          <w:sz w:val="22"/>
          <w:szCs w:val="22"/>
          <w:highlight w:val="lightGray"/>
          <w:u w:val="single"/>
          <w:lang w:val="en-GB"/>
        </w:rPr>
        <w:t xml:space="preserve"> code</w:t>
      </w:r>
    </w:p>
    <w:p w14:paraId="7978C61D" w14:textId="5DDDD988" w:rsidR="00B97181" w:rsidRPr="00881A07" w:rsidRDefault="00881A07" w:rsidP="00881A07">
      <w:pPr>
        <w:pStyle w:val="Blockquote"/>
        <w:ind w:left="0"/>
        <w:jc w:val="both"/>
        <w:rPr>
          <w:rStyle w:val="Emphasis"/>
          <w:i w:val="0"/>
          <w:sz w:val="22"/>
          <w:szCs w:val="22"/>
          <w:lang w:val="en-GB"/>
        </w:rPr>
      </w:pPr>
      <w:r w:rsidRPr="00881A07">
        <w:rPr>
          <w:rStyle w:val="Emphasis"/>
          <w:i w:val="0"/>
          <w:sz w:val="22"/>
          <w:szCs w:val="22"/>
          <w:lang w:val="en-GB"/>
        </w:rPr>
        <w:t>34100000</w:t>
      </w:r>
    </w:p>
    <w:p w14:paraId="295544F1" w14:textId="77777777" w:rsidR="00B97181" w:rsidRPr="00D67F00" w:rsidRDefault="00B97181" w:rsidP="00B97181">
      <w:pPr>
        <w:outlineLvl w:val="0"/>
        <w:rPr>
          <w:rStyle w:val="Strong"/>
          <w:sz w:val="22"/>
          <w:szCs w:val="22"/>
          <w:u w:val="single"/>
          <w:lang w:val="en-GB"/>
        </w:rPr>
      </w:pPr>
      <w:r w:rsidRPr="000E4981">
        <w:rPr>
          <w:rStyle w:val="Strong"/>
          <w:sz w:val="22"/>
          <w:szCs w:val="22"/>
          <w:highlight w:val="lightGray"/>
          <w:u w:val="single"/>
          <w:lang w:val="en-GB"/>
        </w:rPr>
        <w:t>II.1.3) Type of contract</w:t>
      </w:r>
    </w:p>
    <w:p w14:paraId="355F962B" w14:textId="5EEA7319" w:rsidR="00EF74CF" w:rsidRPr="006D7550" w:rsidRDefault="00B97181" w:rsidP="006D7550">
      <w:pPr>
        <w:pStyle w:val="Blockquote"/>
        <w:ind w:left="0"/>
        <w:jc w:val="both"/>
        <w:rPr>
          <w:rStyle w:val="Strong"/>
          <w:b w:val="0"/>
          <w:i/>
          <w:sz w:val="22"/>
          <w:szCs w:val="22"/>
          <w:lang w:val="en-GB"/>
        </w:rPr>
      </w:pPr>
      <w:r w:rsidRPr="000E4981">
        <w:rPr>
          <w:rStyle w:val="Emphasis"/>
          <w:i w:val="0"/>
          <w:sz w:val="22"/>
          <w:szCs w:val="22"/>
          <w:lang w:val="en-GB"/>
        </w:rPr>
        <w:t>Supplies</w:t>
      </w:r>
      <w:r>
        <w:rPr>
          <w:rStyle w:val="Emphasis"/>
          <w:i w:val="0"/>
          <w:sz w:val="22"/>
          <w:szCs w:val="22"/>
          <w:lang w:val="en-GB"/>
        </w:rPr>
        <w:t xml:space="preserve"> </w:t>
      </w:r>
      <w:r w:rsidR="007C201A">
        <w:rPr>
          <w:rStyle w:val="Strong"/>
          <w:b w:val="0"/>
          <w:sz w:val="22"/>
          <w:szCs w:val="22"/>
          <w:lang w:val="en-GB"/>
        </w:rPr>
        <w:br/>
      </w:r>
      <w:r w:rsidR="007C201A">
        <w:rPr>
          <w:rStyle w:val="Strong"/>
          <w:b w:val="0"/>
          <w:sz w:val="22"/>
          <w:szCs w:val="22"/>
          <w:lang w:val="en-GB"/>
        </w:rPr>
        <w:br/>
      </w:r>
      <w:r w:rsidR="00EF74CF" w:rsidRPr="00D67F00">
        <w:rPr>
          <w:rStyle w:val="Strong"/>
          <w:sz w:val="22"/>
          <w:szCs w:val="22"/>
          <w:highlight w:val="lightGray"/>
          <w:u w:val="single"/>
          <w:lang w:val="en-GB"/>
        </w:rPr>
        <w:t>II.1.4) Short description of the contract</w:t>
      </w:r>
    </w:p>
    <w:p w14:paraId="2F10B4EE" w14:textId="08D7E2C9" w:rsidR="00EF74CF" w:rsidRPr="00E7046D" w:rsidRDefault="00E7046D" w:rsidP="00E7046D">
      <w:pPr>
        <w:pStyle w:val="Blockquote"/>
        <w:ind w:left="0"/>
        <w:jc w:val="both"/>
        <w:rPr>
          <w:rStyle w:val="Emphasis"/>
          <w:b/>
          <w:sz w:val="22"/>
          <w:szCs w:val="22"/>
          <w:lang w:val="en-GB"/>
        </w:rPr>
      </w:pPr>
      <w:r w:rsidRPr="00E7046D">
        <w:rPr>
          <w:rStyle w:val="Strong"/>
          <w:b w:val="0"/>
          <w:sz w:val="22"/>
          <w:szCs w:val="22"/>
          <w:lang w:val="en-GB"/>
        </w:rPr>
        <w:t>The subject of the framework contract is the Rental and Maintenance of Hybrid vehicles.</w:t>
      </w:r>
      <w:r w:rsidR="00925C32">
        <w:rPr>
          <w:rStyle w:val="Strong"/>
          <w:b w:val="0"/>
          <w:sz w:val="22"/>
          <w:szCs w:val="22"/>
          <w:lang w:val="en-GB"/>
        </w:rPr>
        <w:t> </w:t>
      </w:r>
      <w:r w:rsidRPr="00E7046D">
        <w:rPr>
          <w:rStyle w:val="Strong"/>
          <w:b w:val="0"/>
          <w:sz w:val="22"/>
          <w:szCs w:val="22"/>
          <w:lang w:val="en-GB"/>
        </w:rPr>
        <w:t>The contractor w</w:t>
      </w:r>
      <w:r w:rsidR="00925C32">
        <w:rPr>
          <w:rStyle w:val="Strong"/>
          <w:b w:val="0"/>
          <w:sz w:val="22"/>
          <w:szCs w:val="22"/>
          <w:lang w:val="en-GB"/>
        </w:rPr>
        <w:t>ill be also obliged to provide</w:t>
      </w:r>
      <w:r w:rsidRPr="00E7046D">
        <w:rPr>
          <w:rStyle w:val="Strong"/>
          <w:b w:val="0"/>
          <w:sz w:val="22"/>
          <w:szCs w:val="22"/>
          <w:lang w:val="en-GB"/>
        </w:rPr>
        <w:t xml:space="preserve"> maintenance of rented vehicles, while </w:t>
      </w:r>
      <w:r w:rsidR="00925C32">
        <w:rPr>
          <w:rStyle w:val="Strong"/>
          <w:b w:val="0"/>
          <w:sz w:val="22"/>
          <w:szCs w:val="22"/>
          <w:lang w:val="en-GB"/>
        </w:rPr>
        <w:t xml:space="preserve">the </w:t>
      </w:r>
      <w:r w:rsidRPr="00E7046D">
        <w:rPr>
          <w:rStyle w:val="Strong"/>
          <w:b w:val="0"/>
          <w:sz w:val="22"/>
          <w:szCs w:val="22"/>
          <w:lang w:val="en-GB"/>
        </w:rPr>
        <w:t>full scope of insurance coverage will be the obligation of C</w:t>
      </w:r>
      <w:r>
        <w:rPr>
          <w:rStyle w:val="Strong"/>
          <w:b w:val="0"/>
          <w:sz w:val="22"/>
          <w:szCs w:val="22"/>
          <w:lang w:val="en-GB"/>
        </w:rPr>
        <w:t xml:space="preserve">ontracting </w:t>
      </w:r>
      <w:r w:rsidRPr="00E7046D">
        <w:rPr>
          <w:rStyle w:val="Strong"/>
          <w:b w:val="0"/>
          <w:sz w:val="22"/>
          <w:szCs w:val="22"/>
          <w:lang w:val="en-GB"/>
        </w:rPr>
        <w:t>A</w:t>
      </w:r>
      <w:r>
        <w:rPr>
          <w:rStyle w:val="Strong"/>
          <w:b w:val="0"/>
          <w:sz w:val="22"/>
          <w:szCs w:val="22"/>
          <w:lang w:val="en-GB"/>
        </w:rPr>
        <w:t>uthority</w:t>
      </w:r>
      <w:r w:rsidR="006D7550" w:rsidRPr="00E7046D">
        <w:rPr>
          <w:rStyle w:val="Emphasis"/>
          <w:b/>
          <w:sz w:val="22"/>
          <w:szCs w:val="22"/>
          <w:lang w:val="en-GB"/>
        </w:rPr>
        <w:t>.</w:t>
      </w:r>
    </w:p>
    <w:p w14:paraId="2EF9E8FA" w14:textId="173583B3" w:rsidR="00EF74CF" w:rsidRDefault="00B513FE" w:rsidP="00EF74CF">
      <w:pPr>
        <w:outlineLvl w:val="0"/>
        <w:rPr>
          <w:rStyle w:val="Strong"/>
          <w:sz w:val="22"/>
          <w:szCs w:val="22"/>
          <w:u w:val="single"/>
          <w:lang w:val="en-GB"/>
        </w:rPr>
      </w:pPr>
      <w:r w:rsidRPr="000E4981">
        <w:rPr>
          <w:b/>
          <w:lang w:val="fr-FR"/>
        </w:rPr>
        <w:br/>
      </w:r>
      <w:r w:rsidR="00EF74CF" w:rsidRPr="000E4981">
        <w:rPr>
          <w:rStyle w:val="Strong"/>
          <w:sz w:val="22"/>
          <w:szCs w:val="22"/>
          <w:highlight w:val="lightGray"/>
          <w:u w:val="single"/>
          <w:lang w:val="en-GB"/>
        </w:rPr>
        <w:t>II.1.5) Estimated total value</w:t>
      </w:r>
    </w:p>
    <w:p w14:paraId="026AE6E8" w14:textId="16574881" w:rsidR="000E4981" w:rsidRPr="000E4981" w:rsidRDefault="000E4981" w:rsidP="00EF74CF">
      <w:pPr>
        <w:outlineLvl w:val="0"/>
        <w:rPr>
          <w:rStyle w:val="Strong"/>
          <w:b w:val="0"/>
          <w:sz w:val="22"/>
          <w:szCs w:val="22"/>
          <w:lang w:val="en-GB"/>
        </w:rPr>
      </w:pPr>
      <w:r w:rsidRPr="005D2BD8">
        <w:rPr>
          <w:rStyle w:val="Strong"/>
          <w:b w:val="0"/>
          <w:sz w:val="22"/>
          <w:szCs w:val="22"/>
          <w:lang w:val="en-GB"/>
        </w:rPr>
        <w:t>Not applicable</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0E4981">
        <w:rPr>
          <w:rStyle w:val="Strong"/>
          <w:sz w:val="22"/>
          <w:szCs w:val="22"/>
          <w:highlight w:val="lightGray"/>
          <w:u w:val="single"/>
          <w:lang w:val="en-GB"/>
        </w:rPr>
        <w:t>IV.1.1.) Type of Procedure</w:t>
      </w:r>
    </w:p>
    <w:p w14:paraId="3045D783" w14:textId="395D8B9A" w:rsidR="00DB35A9" w:rsidRPr="00E157C0" w:rsidRDefault="004C2CC6" w:rsidP="00E157C0">
      <w:pPr>
        <w:outlineLvl w:val="0"/>
        <w:rPr>
          <w:rStyle w:val="Strong"/>
          <w:b w:val="0"/>
          <w:sz w:val="22"/>
          <w:szCs w:val="22"/>
          <w:u w:val="single"/>
          <w:lang w:val="en-GB"/>
        </w:rPr>
      </w:pPr>
      <w:r>
        <w:rPr>
          <w:rStyle w:val="Strong"/>
          <w:b w:val="0"/>
          <w:sz w:val="22"/>
          <w:szCs w:val="22"/>
          <w:u w:val="single"/>
          <w:lang w:val="en-GB"/>
        </w:rPr>
        <w:t xml:space="preserve">Local </w:t>
      </w:r>
      <w:r w:rsidR="00E157C0">
        <w:rPr>
          <w:rStyle w:val="Strong"/>
          <w:b w:val="0"/>
          <w:sz w:val="22"/>
          <w:szCs w:val="22"/>
          <w:u w:val="single"/>
          <w:lang w:val="en-GB"/>
        </w:rPr>
        <w:t>Open</w:t>
      </w:r>
      <w:r w:rsidR="00DB35A9">
        <w:rPr>
          <w:rStyle w:val="Strong"/>
          <w:b w:val="0"/>
          <w:sz w:val="22"/>
          <w:szCs w:val="22"/>
          <w:u w:val="single"/>
          <w:lang w:val="en-GB"/>
        </w:rPr>
        <w:br/>
      </w:r>
    </w:p>
    <w:p w14:paraId="2FB0BEEE" w14:textId="2C24EC1F" w:rsidR="00EF74CF" w:rsidRPr="007C201A" w:rsidRDefault="00EF74CF" w:rsidP="00EF74CF">
      <w:pPr>
        <w:outlineLvl w:val="0"/>
        <w:rPr>
          <w:rStyle w:val="Strong"/>
          <w:sz w:val="22"/>
          <w:szCs w:val="22"/>
          <w:highlight w:val="lightGray"/>
          <w:u w:val="single"/>
          <w:lang w:val="en-GB"/>
        </w:rPr>
      </w:pPr>
      <w:r w:rsidRPr="000E4981">
        <w:rPr>
          <w:rStyle w:val="Strong"/>
          <w:sz w:val="22"/>
          <w:szCs w:val="22"/>
          <w:highlight w:val="lightGray"/>
          <w:u w:val="single"/>
          <w:lang w:val="en-GB"/>
        </w:rPr>
        <w:t>II.1.6) Information about lots</w:t>
      </w:r>
    </w:p>
    <w:p w14:paraId="3F22C197" w14:textId="50964DDD" w:rsidR="00DB35A9" w:rsidRPr="006D7550" w:rsidRDefault="00EF74CF" w:rsidP="000E4981">
      <w:pPr>
        <w:outlineLvl w:val="0"/>
        <w:rPr>
          <w:sz w:val="22"/>
          <w:szCs w:val="22"/>
          <w:lang w:val="en-GB"/>
        </w:rPr>
      </w:pPr>
      <w:r w:rsidRPr="000E4981">
        <w:rPr>
          <w:rStyle w:val="Strong"/>
          <w:b w:val="0"/>
          <w:sz w:val="22"/>
          <w:szCs w:val="22"/>
          <w:lang w:val="en-GB"/>
        </w:rPr>
        <w:t>This contract is divided into lots:</w:t>
      </w:r>
      <w:r w:rsidRPr="000E4981">
        <w:rPr>
          <w:rStyle w:val="Strong"/>
          <w:sz w:val="22"/>
          <w:szCs w:val="22"/>
          <w:lang w:val="en-GB"/>
        </w:rPr>
        <w:t xml:space="preserve"> </w:t>
      </w:r>
      <w:r w:rsidR="00B97181">
        <w:rPr>
          <w:rStyle w:val="Strong"/>
          <w:b w:val="0"/>
          <w:sz w:val="22"/>
          <w:szCs w:val="22"/>
          <w:lang w:val="en-GB"/>
        </w:rPr>
        <w:t>no</w:t>
      </w:r>
      <w:r w:rsidR="00F3539A" w:rsidRPr="000E4981">
        <w:rPr>
          <w:rStyle w:val="Strong"/>
          <w:b w:val="0"/>
          <w:sz w:val="22"/>
          <w:szCs w:val="22"/>
        </w:rPr>
        <w:br/>
      </w:r>
      <w:r>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6A9A04C3" w14:textId="77777777" w:rsidR="006D7550" w:rsidRDefault="006D7550" w:rsidP="00B97181">
      <w:pPr>
        <w:outlineLvl w:val="0"/>
        <w:rPr>
          <w:rStyle w:val="Strong"/>
          <w:sz w:val="22"/>
          <w:szCs w:val="22"/>
          <w:highlight w:val="lightGray"/>
          <w:u w:val="single"/>
        </w:rPr>
      </w:pPr>
    </w:p>
    <w:p w14:paraId="7E841DE1" w14:textId="77777777" w:rsidR="006D7550" w:rsidRDefault="00EF74CF" w:rsidP="00B97181">
      <w:pPr>
        <w:outlineLvl w:val="0"/>
        <w:rPr>
          <w:rStyle w:val="Strong"/>
          <w:sz w:val="22"/>
          <w:szCs w:val="22"/>
        </w:rPr>
      </w:pPr>
      <w:r w:rsidRPr="000E4981">
        <w:rPr>
          <w:rStyle w:val="Strong"/>
          <w:sz w:val="22"/>
          <w:szCs w:val="22"/>
          <w:highlight w:val="lightGray"/>
          <w:u w:val="single"/>
        </w:rPr>
        <w:t>II.2) Description</w:t>
      </w:r>
      <w:r w:rsidR="00D67F00">
        <w:rPr>
          <w:rStyle w:val="Strong"/>
          <w:sz w:val="22"/>
          <w:szCs w:val="22"/>
          <w:u w:val="single"/>
        </w:rPr>
        <w:br/>
      </w:r>
    </w:p>
    <w:p w14:paraId="0B3F7BC3" w14:textId="77777777" w:rsidR="006D7550" w:rsidRDefault="006D7550" w:rsidP="006D7550">
      <w:pPr>
        <w:outlineLvl w:val="0"/>
        <w:rPr>
          <w:sz w:val="22"/>
          <w:szCs w:val="22"/>
        </w:rPr>
      </w:pPr>
      <w:r>
        <w:rPr>
          <w:sz w:val="22"/>
          <w:szCs w:val="22"/>
        </w:rPr>
        <w:t>This tender is not divided into Lots.</w:t>
      </w:r>
    </w:p>
    <w:p w14:paraId="10AAC971" w14:textId="1701C018" w:rsidR="00A809D0" w:rsidRPr="003D05B4" w:rsidRDefault="006D7550" w:rsidP="006D7550">
      <w:pPr>
        <w:outlineLvl w:val="0"/>
        <w:rPr>
          <w:rStyle w:val="Emphasis"/>
          <w:b/>
          <w:i w:val="0"/>
          <w:sz w:val="22"/>
          <w:szCs w:val="22"/>
        </w:rPr>
      </w:pPr>
      <w:r w:rsidRPr="00CE580F">
        <w:rPr>
          <w:sz w:val="22"/>
          <w:szCs w:val="22"/>
        </w:rPr>
        <w:t>The subject of the contract</w:t>
      </w:r>
      <w:r w:rsidRPr="00B97181">
        <w:rPr>
          <w:sz w:val="22"/>
          <w:szCs w:val="22"/>
          <w:lang w:val="fr-FR"/>
        </w:rPr>
        <w:t xml:space="preserve"> </w:t>
      </w:r>
      <w:proofErr w:type="spellStart"/>
      <w:r>
        <w:rPr>
          <w:sz w:val="22"/>
          <w:szCs w:val="22"/>
          <w:lang w:val="fr-FR"/>
        </w:rPr>
        <w:t>a</w:t>
      </w:r>
      <w:proofErr w:type="spellEnd"/>
      <w:r>
        <w:rPr>
          <w:sz w:val="22"/>
          <w:szCs w:val="22"/>
          <w:lang w:val="fr-FR"/>
        </w:rPr>
        <w:t xml:space="preserve"> </w:t>
      </w:r>
      <w:proofErr w:type="spellStart"/>
      <w:r w:rsidR="00B97181" w:rsidRPr="00B97181">
        <w:rPr>
          <w:sz w:val="22"/>
          <w:szCs w:val="22"/>
          <w:lang w:val="fr-FR"/>
        </w:rPr>
        <w:t>Rental</w:t>
      </w:r>
      <w:proofErr w:type="spellEnd"/>
      <w:r w:rsidR="00B97181" w:rsidRPr="00B97181">
        <w:rPr>
          <w:sz w:val="22"/>
          <w:szCs w:val="22"/>
          <w:lang w:val="fr-FR"/>
        </w:rPr>
        <w:t xml:space="preserve"> and Maintenance of </w:t>
      </w:r>
      <w:proofErr w:type="spellStart"/>
      <w:r w:rsidR="00B97181" w:rsidRPr="00B97181">
        <w:rPr>
          <w:sz w:val="22"/>
          <w:szCs w:val="22"/>
          <w:lang w:val="fr-FR"/>
        </w:rPr>
        <w:t>Hybrid</w:t>
      </w:r>
      <w:proofErr w:type="spellEnd"/>
      <w:r w:rsidR="00B97181" w:rsidRPr="00B97181">
        <w:rPr>
          <w:sz w:val="22"/>
          <w:szCs w:val="22"/>
          <w:lang w:val="fr-FR"/>
        </w:rPr>
        <w:t xml:space="preserve"> </w:t>
      </w:r>
      <w:proofErr w:type="spellStart"/>
      <w:r w:rsidR="00B97181" w:rsidRPr="00B97181">
        <w:rPr>
          <w:sz w:val="22"/>
          <w:szCs w:val="22"/>
          <w:lang w:val="fr-FR"/>
        </w:rPr>
        <w:t>vehicles</w:t>
      </w:r>
      <w:proofErr w:type="spellEnd"/>
      <w:r>
        <w:rPr>
          <w:sz w:val="22"/>
          <w:szCs w:val="22"/>
          <w:lang w:val="fr-FR"/>
        </w:rPr>
        <w:t>.</w:t>
      </w:r>
    </w:p>
    <w:p w14:paraId="03C6D90D" w14:textId="77777777" w:rsidR="006D7550" w:rsidRDefault="006D7550" w:rsidP="00EF74CF">
      <w:pPr>
        <w:outlineLvl w:val="0"/>
        <w:rPr>
          <w:rStyle w:val="Strong"/>
          <w:sz w:val="22"/>
          <w:szCs w:val="22"/>
        </w:rPr>
      </w:pPr>
      <w:r w:rsidRPr="007B234C">
        <w:rPr>
          <w:rStyle w:val="Strong"/>
          <w:sz w:val="22"/>
          <w:szCs w:val="22"/>
          <w:highlight w:val="lightGray"/>
        </w:rPr>
        <w:t>II.2.2) Additional CPV code(s)</w:t>
      </w:r>
    </w:p>
    <w:p w14:paraId="48F59E79" w14:textId="77777777" w:rsidR="006D7550" w:rsidRPr="006D7550" w:rsidRDefault="006D7550" w:rsidP="00EF74CF">
      <w:pPr>
        <w:outlineLvl w:val="0"/>
        <w:rPr>
          <w:rStyle w:val="Strong"/>
          <w:b w:val="0"/>
          <w:sz w:val="22"/>
          <w:szCs w:val="22"/>
        </w:rPr>
      </w:pPr>
      <w:r w:rsidRPr="006D7550">
        <w:rPr>
          <w:rStyle w:val="Strong"/>
          <w:b w:val="0"/>
          <w:sz w:val="22"/>
          <w:szCs w:val="22"/>
        </w:rPr>
        <w:t xml:space="preserve">n/a </w:t>
      </w:r>
    </w:p>
    <w:p w14:paraId="7579633B" w14:textId="11CD7162" w:rsidR="00EF74CF" w:rsidRPr="000E4981" w:rsidRDefault="00EF74CF" w:rsidP="00EF74CF">
      <w:pPr>
        <w:outlineLvl w:val="0"/>
        <w:rPr>
          <w:rStyle w:val="Strong"/>
          <w:sz w:val="22"/>
          <w:szCs w:val="22"/>
          <w:highlight w:val="lightGray"/>
          <w:u w:val="single"/>
        </w:rPr>
      </w:pPr>
      <w:r>
        <w:rPr>
          <w:rStyle w:val="Strong"/>
          <w:sz w:val="22"/>
          <w:szCs w:val="22"/>
        </w:rPr>
        <w:br/>
      </w:r>
      <w:r w:rsidRPr="000E4981">
        <w:rPr>
          <w:rStyle w:val="Strong"/>
          <w:sz w:val="22"/>
          <w:szCs w:val="22"/>
          <w:highlight w:val="lightGray"/>
          <w:u w:val="single"/>
        </w:rPr>
        <w:t>II.2.3) Place performance</w:t>
      </w:r>
    </w:p>
    <w:p w14:paraId="3F1C6967" w14:textId="77777777" w:rsidR="00E157C0" w:rsidRDefault="00CC6D8C" w:rsidP="00EF74CF">
      <w:pPr>
        <w:outlineLvl w:val="0"/>
        <w:rPr>
          <w:rStyle w:val="Emphasis"/>
          <w:i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E157C0" w:rsidRPr="001A795B">
        <w:rPr>
          <w:rStyle w:val="Emphasis"/>
          <w:i w:val="0"/>
          <w:sz w:val="22"/>
          <w:szCs w:val="22"/>
          <w:lang w:val="en-GB"/>
        </w:rPr>
        <w:t>(Kosovo time zone).</w:t>
      </w:r>
    </w:p>
    <w:p w14:paraId="6541ED88" w14:textId="40047813"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0E4981">
        <w:rPr>
          <w:rStyle w:val="Strong"/>
          <w:sz w:val="22"/>
          <w:szCs w:val="22"/>
          <w:highlight w:val="lightGray"/>
          <w:u w:val="single"/>
          <w:lang w:val="en-GB"/>
        </w:rPr>
        <w:t>II.2.5)  Award Criteria</w:t>
      </w:r>
    </w:p>
    <w:p w14:paraId="41C0250D" w14:textId="7ACAC364" w:rsidR="00EF74CF" w:rsidRPr="00D67F00" w:rsidRDefault="000E6A13" w:rsidP="00EF74CF">
      <w:pPr>
        <w:outlineLvl w:val="0"/>
        <w:rPr>
          <w:rStyle w:val="Strong"/>
          <w:sz w:val="22"/>
          <w:szCs w:val="22"/>
          <w:u w:val="single"/>
          <w:lang w:val="en-GB"/>
        </w:rPr>
      </w:pPr>
      <w:r w:rsidRPr="000E6A13">
        <w:rPr>
          <w:rStyle w:val="Strong"/>
          <w:b w:val="0"/>
          <w:sz w:val="22"/>
          <w:szCs w:val="22"/>
          <w:lang w:val="en-GB"/>
        </w:rPr>
        <w:t>Price is not the only award criterion and all criteria are stated only in the procurement documents</w:t>
      </w:r>
      <w:r w:rsidR="00EF74CF" w:rsidRPr="00516F45">
        <w:rPr>
          <w:rStyle w:val="Strong"/>
          <w:b w:val="0"/>
          <w:sz w:val="22"/>
          <w:szCs w:val="22"/>
          <w:highlight w:val="lightGray"/>
          <w:lang w:val="en-GB"/>
        </w:rPr>
        <w:br/>
      </w:r>
      <w:r w:rsidR="00EF74CF" w:rsidRPr="00516F45">
        <w:rPr>
          <w:rStyle w:val="Strong"/>
          <w:b w:val="0"/>
          <w:sz w:val="22"/>
          <w:szCs w:val="22"/>
          <w:highlight w:val="lightGray"/>
          <w:lang w:val="en-GB"/>
        </w:rPr>
        <w:br/>
      </w:r>
      <w:r w:rsidR="00EF74CF">
        <w:rPr>
          <w:rStyle w:val="Strong"/>
          <w:sz w:val="22"/>
          <w:szCs w:val="22"/>
          <w:u w:val="single"/>
          <w:lang w:val="en-GB"/>
        </w:rPr>
        <w:br/>
      </w:r>
      <w:r w:rsidR="00EF74CF" w:rsidRPr="000E4981">
        <w:rPr>
          <w:rStyle w:val="Strong"/>
          <w:sz w:val="22"/>
          <w:szCs w:val="22"/>
          <w:highlight w:val="lightGray"/>
          <w:u w:val="single"/>
          <w:lang w:val="en-GB"/>
        </w:rPr>
        <w:t>II.2.14) Additional information</w:t>
      </w:r>
    </w:p>
    <w:p w14:paraId="513246EA" w14:textId="77777777" w:rsidR="005D2BD8" w:rsidRPr="000E4981" w:rsidRDefault="005D2BD8" w:rsidP="005D2BD8">
      <w:pPr>
        <w:outlineLvl w:val="0"/>
        <w:rPr>
          <w:rStyle w:val="Strong"/>
          <w:b w:val="0"/>
          <w:sz w:val="22"/>
          <w:szCs w:val="22"/>
          <w:lang w:val="en-GB"/>
        </w:rPr>
      </w:pPr>
      <w:r w:rsidRPr="005D2BD8">
        <w:rPr>
          <w:rStyle w:val="Strong"/>
          <w:b w:val="0"/>
          <w:sz w:val="22"/>
          <w:szCs w:val="22"/>
          <w:lang w:val="en-GB"/>
        </w:rPr>
        <w:t>Not applicable</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0E4981">
        <w:rPr>
          <w:rStyle w:val="Strong"/>
          <w:sz w:val="22"/>
          <w:szCs w:val="22"/>
          <w:highlight w:val="lightGray"/>
          <w:u w:val="single"/>
          <w:lang w:val="en-GB"/>
        </w:rPr>
        <w:t xml:space="preserve">IV.2.2) Time limit for </w:t>
      </w:r>
      <w:r w:rsidR="00D25196" w:rsidRPr="000E4981">
        <w:rPr>
          <w:rStyle w:val="Strong"/>
          <w:sz w:val="22"/>
          <w:szCs w:val="22"/>
          <w:highlight w:val="lightGray"/>
          <w:u w:val="single"/>
          <w:lang w:val="en-GB"/>
        </w:rPr>
        <w:t>submission</w:t>
      </w:r>
      <w:r w:rsidR="00CC6D8C" w:rsidRPr="000E4981">
        <w:rPr>
          <w:rStyle w:val="Strong"/>
          <w:sz w:val="22"/>
          <w:szCs w:val="22"/>
          <w:highlight w:val="lightGray"/>
          <w:u w:val="single"/>
          <w:lang w:val="en-GB"/>
        </w:rPr>
        <w:t xml:space="preserve"> of tenders or requests to participate</w:t>
      </w:r>
    </w:p>
    <w:p w14:paraId="219EBCDA" w14:textId="2FF68F21" w:rsidR="00E157C0" w:rsidRDefault="005D2BD8" w:rsidP="00E157C0">
      <w:pPr>
        <w:outlineLvl w:val="0"/>
        <w:rPr>
          <w:sz w:val="22"/>
          <w:szCs w:val="22"/>
          <w:lang w:val="en-GB"/>
        </w:rPr>
      </w:pPr>
      <w:r w:rsidRPr="00204DDE">
        <w:rPr>
          <w:sz w:val="22"/>
          <w:szCs w:val="22"/>
          <w:lang w:val="en-GB"/>
        </w:rPr>
        <w:t xml:space="preserve">On </w:t>
      </w:r>
      <w:r w:rsidR="004C2CC6" w:rsidRPr="004C2CC6">
        <w:rPr>
          <w:b/>
          <w:sz w:val="22"/>
          <w:szCs w:val="22"/>
          <w:u w:val="single"/>
          <w:lang w:val="en-GB"/>
        </w:rPr>
        <w:t>16/12</w:t>
      </w:r>
      <w:r w:rsidR="00B97181" w:rsidRPr="004C2CC6">
        <w:rPr>
          <w:b/>
          <w:sz w:val="22"/>
          <w:szCs w:val="22"/>
          <w:u w:val="single"/>
          <w:lang w:val="en-GB"/>
        </w:rPr>
        <w:t>/2021</w:t>
      </w:r>
      <w:r w:rsidRPr="004C2CC6">
        <w:rPr>
          <w:b/>
          <w:sz w:val="22"/>
          <w:szCs w:val="22"/>
          <w:u w:val="single"/>
          <w:lang w:val="en-GB"/>
        </w:rPr>
        <w:t xml:space="preserve"> at 15:00 hrs, </w:t>
      </w:r>
      <w:r w:rsidRPr="004C2CC6">
        <w:rPr>
          <w:sz w:val="22"/>
          <w:szCs w:val="22"/>
          <w:lang w:val="en-GB"/>
        </w:rPr>
        <w:t>(Kosovo</w:t>
      </w:r>
      <w:r w:rsidRPr="00204DDE">
        <w:rPr>
          <w:sz w:val="22"/>
          <w:szCs w:val="22"/>
          <w:lang w:val="en-GB"/>
        </w:rPr>
        <w:t xml:space="preserve"> time zone) (Kosovo time zone) at EULEX, Procurement Section, </w:t>
      </w:r>
      <w:proofErr w:type="spellStart"/>
      <w:r w:rsidRPr="00204DDE">
        <w:rPr>
          <w:sz w:val="22"/>
          <w:szCs w:val="22"/>
          <w:lang w:val="en-GB"/>
        </w:rPr>
        <w:t>Ndertesa</w:t>
      </w:r>
      <w:proofErr w:type="spellEnd"/>
      <w:r w:rsidRPr="00204DDE">
        <w:rPr>
          <w:sz w:val="22"/>
          <w:szCs w:val="22"/>
          <w:lang w:val="en-GB"/>
        </w:rPr>
        <w:t xml:space="preserve"> Farmed, “</w:t>
      </w:r>
      <w:proofErr w:type="spellStart"/>
      <w:r w:rsidRPr="00204DDE">
        <w:rPr>
          <w:sz w:val="22"/>
          <w:szCs w:val="22"/>
          <w:lang w:val="en-GB"/>
        </w:rPr>
        <w:t>Muharrem</w:t>
      </w:r>
      <w:proofErr w:type="spellEnd"/>
      <w:r w:rsidRPr="00204DDE">
        <w:rPr>
          <w:sz w:val="22"/>
          <w:szCs w:val="22"/>
          <w:lang w:val="en-GB"/>
        </w:rPr>
        <w:t xml:space="preserve"> </w:t>
      </w:r>
      <w:proofErr w:type="spellStart"/>
      <w:r w:rsidRPr="00204DDE">
        <w:rPr>
          <w:sz w:val="22"/>
          <w:szCs w:val="22"/>
          <w:lang w:val="en-GB"/>
        </w:rPr>
        <w:t>Fejza</w:t>
      </w:r>
      <w:proofErr w:type="spellEnd"/>
      <w:r w:rsidRPr="00204DDE">
        <w:rPr>
          <w:sz w:val="22"/>
          <w:szCs w:val="22"/>
          <w:lang w:val="en-GB"/>
        </w:rPr>
        <w:t xml:space="preserve">” p.n. </w:t>
      </w:r>
      <w:proofErr w:type="spellStart"/>
      <w:r w:rsidRPr="00204DDE">
        <w:rPr>
          <w:sz w:val="22"/>
          <w:szCs w:val="22"/>
          <w:lang w:val="en-GB"/>
        </w:rPr>
        <w:t>Lagja</w:t>
      </w:r>
      <w:proofErr w:type="spellEnd"/>
      <w:r w:rsidRPr="00204DDE">
        <w:rPr>
          <w:sz w:val="22"/>
          <w:szCs w:val="22"/>
          <w:lang w:val="en-GB"/>
        </w:rPr>
        <w:t xml:space="preserve"> e </w:t>
      </w:r>
      <w:proofErr w:type="spellStart"/>
      <w:r w:rsidRPr="00204DDE">
        <w:rPr>
          <w:sz w:val="22"/>
          <w:szCs w:val="22"/>
          <w:lang w:val="en-GB"/>
        </w:rPr>
        <w:t>Spitalit</w:t>
      </w:r>
      <w:proofErr w:type="spellEnd"/>
      <w:r w:rsidRPr="00204DDE">
        <w:rPr>
          <w:sz w:val="22"/>
          <w:szCs w:val="22"/>
          <w:lang w:val="en-GB"/>
        </w:rPr>
        <w:t>, 10000 Pristina, Kosovo.</w:t>
      </w:r>
    </w:p>
    <w:p w14:paraId="1B2ED671" w14:textId="77777777" w:rsidR="006D7550" w:rsidRPr="001A795B" w:rsidRDefault="006D7550" w:rsidP="006D7550">
      <w:pPr>
        <w:jc w:val="both"/>
        <w:outlineLvl w:val="0"/>
        <w:rPr>
          <w:rStyle w:val="Strong"/>
          <w:b w:val="0"/>
          <w:sz w:val="22"/>
          <w:szCs w:val="22"/>
          <w:lang w:val="en-GB"/>
        </w:rPr>
      </w:pPr>
      <w:r w:rsidRPr="00162F06">
        <w:rPr>
          <w:b/>
          <w:color w:val="FF0000"/>
          <w:szCs w:val="24"/>
          <w:lang w:val="en-GB"/>
        </w:rPr>
        <w:t>(</w:t>
      </w:r>
      <w:proofErr w:type="gramStart"/>
      <w:r w:rsidRPr="00162F06">
        <w:rPr>
          <w:b/>
          <w:color w:val="FF0000"/>
          <w:szCs w:val="24"/>
          <w:lang w:val="en-GB"/>
        </w:rPr>
        <w:t>exceptionally</w:t>
      </w:r>
      <w:proofErr w:type="gramEnd"/>
      <w:r>
        <w:rPr>
          <w:b/>
          <w:color w:val="FF0000"/>
          <w:szCs w:val="24"/>
          <w:lang w:val="en-GB"/>
        </w:rPr>
        <w:t>) electronic submission of the tender</w:t>
      </w:r>
      <w:r w:rsidRPr="00162F06">
        <w:rPr>
          <w:b/>
          <w:color w:val="FF0000"/>
          <w:szCs w:val="24"/>
          <w:lang w:val="en-GB"/>
        </w:rPr>
        <w:t xml:space="preserve"> is allowed via email at: </w:t>
      </w:r>
      <w:r w:rsidRPr="00162F06">
        <w:rPr>
          <w:b/>
          <w:color w:val="FF0000"/>
          <w:szCs w:val="24"/>
          <w:lang w:val="en-GB"/>
        </w:rPr>
        <w:br/>
      </w:r>
      <w:hyperlink r:id="rId8" w:history="1">
        <w:r w:rsidRPr="00162F06">
          <w:rPr>
            <w:rStyle w:val="Hyperlink"/>
            <w:b/>
            <w:szCs w:val="24"/>
            <w:lang w:val="en-GB"/>
          </w:rPr>
          <w:t>tenders@eulex-kosovo.eu</w:t>
        </w:r>
      </w:hyperlink>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0E4981">
        <w:rPr>
          <w:rStyle w:val="Strong"/>
          <w:sz w:val="22"/>
          <w:szCs w:val="22"/>
          <w:highlight w:val="lightGray"/>
          <w:u w:val="single"/>
          <w:lang w:val="en-GB"/>
        </w:rPr>
        <w:t>IV.2.6) Minimum time frame during which the tenderer must maintain the tender</w:t>
      </w:r>
    </w:p>
    <w:p w14:paraId="48AEE574" w14:textId="77777777" w:rsidR="00E157C0" w:rsidRPr="00480598" w:rsidRDefault="00E157C0" w:rsidP="005D2BD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7B83DFAC" w14:textId="77777777" w:rsidR="00E157C0" w:rsidRDefault="00E157C0" w:rsidP="00E157C0">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0D28D4A1" w:rsidR="00CC6D8C" w:rsidRPr="004C2CC6" w:rsidRDefault="00CC6D8C" w:rsidP="00E157C0">
      <w:pPr>
        <w:outlineLvl w:val="0"/>
        <w:rPr>
          <w:rStyle w:val="Strong"/>
          <w:sz w:val="22"/>
          <w:szCs w:val="22"/>
          <w:u w:val="single"/>
          <w:lang w:val="en-GB"/>
        </w:rPr>
      </w:pPr>
      <w:r>
        <w:rPr>
          <w:rStyle w:val="Strong"/>
          <w:sz w:val="22"/>
          <w:szCs w:val="22"/>
          <w:u w:val="single"/>
          <w:lang w:val="en-GB"/>
        </w:rPr>
        <w:br/>
      </w:r>
      <w:r w:rsidRPr="004C2CC6">
        <w:rPr>
          <w:rStyle w:val="Strong"/>
          <w:sz w:val="22"/>
          <w:szCs w:val="22"/>
          <w:u w:val="single"/>
          <w:lang w:val="en-GB"/>
        </w:rPr>
        <w:t xml:space="preserve">IV.2.7) Conditions for opening of tenders </w:t>
      </w:r>
    </w:p>
    <w:p w14:paraId="5BEBE15F" w14:textId="19930862" w:rsidR="000E4981" w:rsidRPr="000E4981" w:rsidRDefault="00CC6D8C" w:rsidP="000E4981">
      <w:pPr>
        <w:pStyle w:val="ListParagraph"/>
        <w:spacing w:before="0" w:after="0"/>
        <w:ind w:left="0"/>
        <w:rPr>
          <w:b/>
          <w:bCs/>
          <w:sz w:val="22"/>
          <w:szCs w:val="22"/>
        </w:rPr>
      </w:pPr>
      <w:r w:rsidRPr="004C2CC6">
        <w:rPr>
          <w:rStyle w:val="Strong"/>
          <w:b w:val="0"/>
          <w:sz w:val="22"/>
          <w:szCs w:val="22"/>
          <w:lang w:val="en-GB"/>
        </w:rPr>
        <w:t>Date:</w:t>
      </w:r>
      <w:r w:rsidRPr="004C2CC6">
        <w:rPr>
          <w:rStyle w:val="Strong"/>
          <w:b w:val="0"/>
          <w:sz w:val="22"/>
          <w:szCs w:val="22"/>
          <w:u w:val="single"/>
          <w:lang w:val="en-GB"/>
        </w:rPr>
        <w:t xml:space="preserve"> </w:t>
      </w:r>
      <w:r w:rsidR="004C2CC6" w:rsidRPr="004C2CC6">
        <w:rPr>
          <w:rStyle w:val="Emphasis"/>
          <w:b/>
          <w:i w:val="0"/>
          <w:sz w:val="22"/>
          <w:szCs w:val="22"/>
          <w:u w:val="single"/>
          <w:lang w:val="en-GB"/>
        </w:rPr>
        <w:t>16</w:t>
      </w:r>
      <w:r w:rsidR="00E157C0" w:rsidRPr="004C2CC6">
        <w:rPr>
          <w:rStyle w:val="Emphasis"/>
          <w:b/>
          <w:i w:val="0"/>
          <w:sz w:val="22"/>
          <w:szCs w:val="22"/>
          <w:u w:val="single"/>
          <w:lang w:val="en-GB"/>
        </w:rPr>
        <w:t>/</w:t>
      </w:r>
      <w:r w:rsidR="004C2CC6" w:rsidRPr="004C2CC6">
        <w:rPr>
          <w:rStyle w:val="Emphasis"/>
          <w:b/>
          <w:i w:val="0"/>
          <w:sz w:val="22"/>
          <w:szCs w:val="22"/>
          <w:u w:val="single"/>
          <w:lang w:val="en-GB"/>
        </w:rPr>
        <w:t>12</w:t>
      </w:r>
      <w:r w:rsidR="00E157C0" w:rsidRPr="004C2CC6">
        <w:rPr>
          <w:rStyle w:val="Emphasis"/>
          <w:b/>
          <w:i w:val="0"/>
          <w:sz w:val="22"/>
          <w:szCs w:val="22"/>
          <w:u w:val="single"/>
          <w:lang w:val="en-GB"/>
        </w:rPr>
        <w:t>//202</w:t>
      </w:r>
      <w:r w:rsidR="00B97181" w:rsidRPr="004C2CC6">
        <w:rPr>
          <w:rStyle w:val="Emphasis"/>
          <w:b/>
          <w:i w:val="0"/>
          <w:sz w:val="22"/>
          <w:szCs w:val="22"/>
          <w:u w:val="single"/>
          <w:lang w:val="en-GB"/>
        </w:rPr>
        <w:t>1</w:t>
      </w:r>
      <w:r w:rsidR="00E157C0" w:rsidRPr="004C2CC6">
        <w:rPr>
          <w:rStyle w:val="Emphasis"/>
          <w:b/>
          <w:i w:val="0"/>
          <w:sz w:val="22"/>
          <w:szCs w:val="22"/>
          <w:u w:val="single"/>
          <w:lang w:val="en-GB"/>
        </w:rPr>
        <w:t xml:space="preserve"> </w:t>
      </w:r>
      <w:r w:rsidRPr="00F82AA4">
        <w:rPr>
          <w:rStyle w:val="Strong"/>
          <w:b w:val="0"/>
          <w:sz w:val="22"/>
          <w:szCs w:val="22"/>
          <w:u w:val="single"/>
          <w:lang w:val="en-GB"/>
        </w:rPr>
        <w:br/>
      </w:r>
      <w:r w:rsidRPr="00F82AA4">
        <w:rPr>
          <w:rStyle w:val="Strong"/>
          <w:b w:val="0"/>
          <w:sz w:val="22"/>
          <w:szCs w:val="22"/>
          <w:lang w:val="en-GB"/>
        </w:rPr>
        <w:t>Local time</w:t>
      </w:r>
      <w:r w:rsidRPr="00F82AA4">
        <w:rPr>
          <w:rStyle w:val="Strong"/>
          <w:b w:val="0"/>
          <w:sz w:val="22"/>
          <w:szCs w:val="22"/>
          <w:u w:val="single"/>
          <w:lang w:val="en-GB"/>
        </w:rPr>
        <w:t xml:space="preserve">: </w:t>
      </w:r>
      <w:r w:rsidR="000E4981">
        <w:rPr>
          <w:rStyle w:val="Emphasis"/>
          <w:b/>
          <w:i w:val="0"/>
          <w:sz w:val="22"/>
          <w:szCs w:val="22"/>
          <w:u w:val="single"/>
          <w:lang w:val="en-GB"/>
        </w:rPr>
        <w:t>15:3</w:t>
      </w:r>
      <w:r w:rsidR="000E4981" w:rsidRPr="000E4981">
        <w:rPr>
          <w:rStyle w:val="Emphasis"/>
          <w:b/>
          <w:i w:val="0"/>
          <w:sz w:val="22"/>
          <w:szCs w:val="22"/>
          <w:u w:val="single"/>
          <w:lang w:val="en-GB"/>
        </w:rPr>
        <w:t>0hrs</w:t>
      </w:r>
      <w:r w:rsidR="000E4981" w:rsidRPr="001A795B">
        <w:rPr>
          <w:rStyle w:val="Emphasis"/>
          <w:i w:val="0"/>
          <w:sz w:val="22"/>
          <w:szCs w:val="22"/>
          <w:lang w:val="en-GB"/>
        </w:rPr>
        <w:t xml:space="preserve"> (Kosovo time zone</w:t>
      </w:r>
      <w:proofErr w:type="gramStart"/>
      <w:r w:rsidR="000E4981" w:rsidRPr="001A795B">
        <w:rPr>
          <w:rStyle w:val="Emphasis"/>
          <w:i w:val="0"/>
          <w:sz w:val="22"/>
          <w:szCs w:val="22"/>
          <w:lang w:val="en-GB"/>
        </w:rPr>
        <w:t>)</w:t>
      </w:r>
      <w:proofErr w:type="gramEnd"/>
      <w:r>
        <w:rPr>
          <w:rStyle w:val="Strong"/>
          <w:sz w:val="22"/>
          <w:szCs w:val="22"/>
          <w:u w:val="single"/>
          <w:lang w:val="en-GB"/>
        </w:rPr>
        <w:br/>
      </w:r>
      <w:r w:rsidRPr="00F82AA4">
        <w:rPr>
          <w:rStyle w:val="Strong"/>
          <w:b w:val="0"/>
          <w:sz w:val="22"/>
          <w:szCs w:val="22"/>
          <w:lang w:val="en-GB"/>
        </w:rPr>
        <w:t xml:space="preserve">Place: </w:t>
      </w:r>
      <w:r w:rsidR="000E4981" w:rsidRPr="000E4981">
        <w:rPr>
          <w:b/>
          <w:bCs/>
          <w:sz w:val="22"/>
          <w:szCs w:val="22"/>
        </w:rPr>
        <w:t>EULEX Kosovo – Procurement Section</w:t>
      </w:r>
    </w:p>
    <w:p w14:paraId="0331ED6E" w14:textId="77777777" w:rsidR="000E4981" w:rsidRPr="000E4981" w:rsidRDefault="000E4981" w:rsidP="000E4981">
      <w:pPr>
        <w:pStyle w:val="ListParagraph"/>
        <w:autoSpaceDE w:val="0"/>
        <w:autoSpaceDN w:val="0"/>
        <w:adjustRightInd w:val="0"/>
        <w:spacing w:before="0" w:after="0"/>
        <w:ind w:left="0"/>
        <w:rPr>
          <w:b/>
          <w:sz w:val="22"/>
          <w:szCs w:val="22"/>
          <w:lang w:val="fr-FR"/>
        </w:rPr>
      </w:pPr>
      <w:proofErr w:type="spellStart"/>
      <w:r w:rsidRPr="000E4981">
        <w:rPr>
          <w:b/>
          <w:sz w:val="22"/>
          <w:szCs w:val="22"/>
          <w:lang w:val="fr-FR"/>
        </w:rPr>
        <w:t>Ndërtesa</w:t>
      </w:r>
      <w:proofErr w:type="spellEnd"/>
      <w:r w:rsidRPr="000E4981">
        <w:rPr>
          <w:b/>
          <w:sz w:val="22"/>
          <w:szCs w:val="22"/>
          <w:lang w:val="fr-FR"/>
        </w:rPr>
        <w:t xml:space="preserve"> </w:t>
      </w:r>
      <w:proofErr w:type="spellStart"/>
      <w:r w:rsidRPr="000E4981">
        <w:rPr>
          <w:b/>
          <w:sz w:val="22"/>
          <w:szCs w:val="22"/>
          <w:lang w:val="fr-FR"/>
        </w:rPr>
        <w:t>Farmed</w:t>
      </w:r>
      <w:proofErr w:type="spellEnd"/>
    </w:p>
    <w:p w14:paraId="2D6E485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lastRenderedPageBreak/>
        <w:t>“Muharrem Fejza” p.n.</w:t>
      </w:r>
    </w:p>
    <w:p w14:paraId="7ADAE27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Lagja e Spitalit</w:t>
      </w:r>
    </w:p>
    <w:p w14:paraId="56624DF5" w14:textId="77777777" w:rsidR="000E4981" w:rsidRDefault="000E4981" w:rsidP="000E4981">
      <w:pPr>
        <w:outlineLvl w:val="0"/>
        <w:rPr>
          <w:b/>
          <w:sz w:val="22"/>
          <w:szCs w:val="22"/>
          <w:lang w:val="es-ES_tradnl"/>
        </w:rPr>
      </w:pPr>
      <w:r w:rsidRPr="000E4981">
        <w:rPr>
          <w:b/>
          <w:sz w:val="22"/>
          <w:szCs w:val="22"/>
          <w:lang w:val="es-ES_tradnl"/>
        </w:rPr>
        <w:t>10000 Pristina, Kosovo</w:t>
      </w:r>
    </w:p>
    <w:p w14:paraId="73FF26D2" w14:textId="1E8133E9" w:rsidR="006D7550" w:rsidRPr="000C7035" w:rsidRDefault="006D7550" w:rsidP="000E4981">
      <w:pPr>
        <w:outlineLvl w:val="0"/>
        <w:rPr>
          <w:b/>
          <w:szCs w:val="24"/>
          <w:lang w:val="es-ES_tradnl"/>
        </w:rPr>
      </w:pPr>
      <w:r w:rsidRPr="000C7035">
        <w:rPr>
          <w:color w:val="FF0000"/>
          <w:szCs w:val="24"/>
          <w:lang w:val="en-GB"/>
        </w:rPr>
        <w:t>Given the specific circumstances, the tender opening session may be organised by video conference.</w:t>
      </w:r>
    </w:p>
    <w:p w14:paraId="359F12BD" w14:textId="14558713" w:rsidR="00CC6D8C" w:rsidRDefault="00CC6D8C" w:rsidP="000E4981">
      <w:pPr>
        <w:outlineLvl w:val="0"/>
        <w:rPr>
          <w:rStyle w:val="Strong"/>
          <w:sz w:val="22"/>
          <w:szCs w:val="22"/>
          <w:u w:val="single"/>
          <w:lang w:val="en-GB"/>
        </w:rPr>
      </w:pPr>
      <w:r w:rsidRPr="004C2CC6">
        <w:rPr>
          <w:rStyle w:val="Strong"/>
          <w:b w:val="0"/>
          <w:sz w:val="28"/>
          <w:szCs w:val="28"/>
          <w:lang w:val="en-GB"/>
        </w:rPr>
        <w:br/>
      </w:r>
      <w:r w:rsidRPr="00F82AA4">
        <w:rPr>
          <w:rStyle w:val="Strong"/>
          <w:b w:val="0"/>
          <w:sz w:val="22"/>
          <w:szCs w:val="22"/>
          <w:lang w:val="en-GB"/>
        </w:rPr>
        <w:t>Information about authorised persons and opening procedure:</w:t>
      </w:r>
      <w:r w:rsidRPr="00F82AA4">
        <w:t xml:space="preserve"> </w:t>
      </w:r>
      <w:r w:rsidRPr="00F82AA4">
        <w:rPr>
          <w:rStyle w:val="Strong"/>
          <w:b w:val="0"/>
          <w:sz w:val="22"/>
          <w:szCs w:val="22"/>
          <w:lang w:val="en-GB"/>
        </w:rPr>
        <w:t>See Internet address provided in Section I.3.</w:t>
      </w:r>
      <w:r>
        <w:rPr>
          <w:rStyle w:val="Strong"/>
          <w:sz w:val="22"/>
          <w:szCs w:val="22"/>
          <w:u w:val="single"/>
          <w:lang w:val="en-GB"/>
        </w:rPr>
        <w:br/>
      </w:r>
    </w:p>
    <w:p w14:paraId="541025BC" w14:textId="39FC4F09" w:rsidR="00EF74CF" w:rsidRPr="00EF74CF" w:rsidRDefault="003C10AA" w:rsidP="00045773">
      <w:pPr>
        <w:outlineLvl w:val="0"/>
        <w:rPr>
          <w:rStyle w:val="Strong"/>
          <w:sz w:val="22"/>
          <w:szCs w:val="22"/>
          <w:u w:val="single"/>
          <w:lang w:val="en-GB"/>
        </w:rPr>
      </w:pPr>
      <w:r>
        <w:rPr>
          <w:rStyle w:val="Strong"/>
          <w:sz w:val="22"/>
          <w:szCs w:val="22"/>
          <w:u w:val="single"/>
          <w:lang w:val="en-GB"/>
        </w:rPr>
        <w:br/>
      </w:r>
    </w:p>
    <w:p w14:paraId="4B3F0DCB" w14:textId="3B57E3BF" w:rsidR="00DE28AE" w:rsidRPr="005D2BD8" w:rsidRDefault="00F82AA4" w:rsidP="005D2BD8">
      <w:pPr>
        <w:outlineLvl w:val="0"/>
        <w:rPr>
          <w:b/>
          <w:sz w:val="22"/>
          <w:szCs w:val="22"/>
          <w:u w:val="single"/>
          <w:lang w:val="en-GB"/>
        </w:rPr>
      </w:pPr>
      <w:r>
        <w:rPr>
          <w:rStyle w:val="Strong"/>
          <w:sz w:val="22"/>
          <w:szCs w:val="22"/>
          <w:u w:val="single"/>
          <w:lang w:val="en-GB"/>
        </w:rPr>
        <w:br/>
      </w:r>
      <w:bookmarkStart w:id="0" w:name="_GoBack"/>
      <w:bookmarkEnd w:id="0"/>
    </w:p>
    <w:sectPr w:rsidR="00DE28AE" w:rsidRPr="005D2BD8" w:rsidSect="00BC34CF">
      <w:headerReference w:type="even" r:id="rId9"/>
      <w:headerReference w:type="default" r:id="rId10"/>
      <w:footerReference w:type="even" r:id="rId11"/>
      <w:footerReference w:type="default" r:id="rId12"/>
      <w:headerReference w:type="first" r:id="rId13"/>
      <w:footerReference w:type="first" r:id="rId14"/>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0C7035">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0C7035">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2980F762" w14:textId="77777777" w:rsidR="00B97181" w:rsidRPr="000617C9" w:rsidRDefault="00B97181" w:rsidP="00B97181">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1" w:history="1">
        <w:r w:rsidRPr="007B234C">
          <w:rPr>
            <w:rStyle w:val="Hyperlink"/>
            <w:sz w:val="18"/>
            <w:szCs w:val="18"/>
          </w:rPr>
          <w:t>http://simap.ted.europa.eu/en/web/simap/cpv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8316A"/>
    <w:rsid w:val="00087A72"/>
    <w:rsid w:val="00095030"/>
    <w:rsid w:val="000950D5"/>
    <w:rsid w:val="000A3758"/>
    <w:rsid w:val="000C1522"/>
    <w:rsid w:val="000C5B55"/>
    <w:rsid w:val="000C7035"/>
    <w:rsid w:val="000E4981"/>
    <w:rsid w:val="000E5BBC"/>
    <w:rsid w:val="000E6A13"/>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10331"/>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2CC6"/>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2BD8"/>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D755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81A07"/>
    <w:rsid w:val="00892A43"/>
    <w:rsid w:val="008938FF"/>
    <w:rsid w:val="00894E29"/>
    <w:rsid w:val="0089693D"/>
    <w:rsid w:val="008A1514"/>
    <w:rsid w:val="008A377D"/>
    <w:rsid w:val="008C2513"/>
    <w:rsid w:val="008C3178"/>
    <w:rsid w:val="008C5B63"/>
    <w:rsid w:val="008C68A0"/>
    <w:rsid w:val="008D02FF"/>
    <w:rsid w:val="008D1243"/>
    <w:rsid w:val="008D243C"/>
    <w:rsid w:val="008E0CEC"/>
    <w:rsid w:val="008E2D12"/>
    <w:rsid w:val="008F4ED2"/>
    <w:rsid w:val="009044E4"/>
    <w:rsid w:val="009055F3"/>
    <w:rsid w:val="009066B6"/>
    <w:rsid w:val="00907556"/>
    <w:rsid w:val="00913817"/>
    <w:rsid w:val="00924137"/>
    <w:rsid w:val="00925C32"/>
    <w:rsid w:val="00925F7F"/>
    <w:rsid w:val="0092731B"/>
    <w:rsid w:val="00952960"/>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09D0"/>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97181"/>
    <w:rsid w:val="00BA0765"/>
    <w:rsid w:val="00BA0EC9"/>
    <w:rsid w:val="00BA1E67"/>
    <w:rsid w:val="00BA4DA9"/>
    <w:rsid w:val="00BB2689"/>
    <w:rsid w:val="00BB68B0"/>
    <w:rsid w:val="00BC00A1"/>
    <w:rsid w:val="00BC0714"/>
    <w:rsid w:val="00BC34CF"/>
    <w:rsid w:val="00BC353E"/>
    <w:rsid w:val="00BD552F"/>
    <w:rsid w:val="00BE279A"/>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14CE1"/>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012A3"/>
    <w:rsid w:val="00E157C0"/>
    <w:rsid w:val="00E1782A"/>
    <w:rsid w:val="00E25542"/>
    <w:rsid w:val="00E2770C"/>
    <w:rsid w:val="00E30BB5"/>
    <w:rsid w:val="00E31447"/>
    <w:rsid w:val="00E422A2"/>
    <w:rsid w:val="00E51C35"/>
    <w:rsid w:val="00E7046D"/>
    <w:rsid w:val="00E734C8"/>
    <w:rsid w:val="00E813B7"/>
    <w:rsid w:val="00E81F05"/>
    <w:rsid w:val="00E82874"/>
    <w:rsid w:val="00E9047D"/>
    <w:rsid w:val="00E95E44"/>
    <w:rsid w:val="00EA399C"/>
    <w:rsid w:val="00EB29EB"/>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0177"/>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E1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DE133-E031-4881-9041-EF8B21E9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418</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17</cp:revision>
  <cp:lastPrinted>2014-01-30T15:32:00Z</cp:lastPrinted>
  <dcterms:created xsi:type="dcterms:W3CDTF">2020-10-29T09:22:00Z</dcterms:created>
  <dcterms:modified xsi:type="dcterms:W3CDTF">2021-11-10T08:59:00Z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