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0B3A" w14:textId="1B9581D0" w:rsidR="006F5FD0" w:rsidRPr="00571687" w:rsidRDefault="00297B55" w:rsidP="00687628">
      <w:pPr>
        <w:rPr>
          <w:sz w:val="20"/>
          <w:lang w:val="en-GB"/>
        </w:rPr>
      </w:pPr>
      <w:r>
        <w:rPr>
          <w:sz w:val="20"/>
          <w:highlight w:val="yellow"/>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4206996B" w:rsidR="00F3539A" w:rsidRDefault="00DB35A9" w:rsidP="007C201A">
      <w:pPr>
        <w:spacing w:beforeAutospacing="1" w:afterAutospacing="1"/>
        <w:rPr>
          <w:rStyle w:val="Strong"/>
          <w:sz w:val="22"/>
          <w:szCs w:val="22"/>
          <w:u w:val="single"/>
          <w:lang w:val="en-GB"/>
        </w:rPr>
      </w:pPr>
      <w:r w:rsidRPr="00CB244C">
        <w:rPr>
          <w:b/>
          <w:sz w:val="22"/>
          <w:szCs w:val="22"/>
          <w:u w:val="single"/>
        </w:rPr>
        <w:t>CALL FOR TENDER</w:t>
      </w:r>
      <w:r w:rsidR="00297B55" w:rsidRPr="00CB244C">
        <w:rPr>
          <w:b/>
          <w:sz w:val="22"/>
          <w:szCs w:val="22"/>
          <w:u w:val="single"/>
        </w:rPr>
        <w:t xml:space="preserve">: GENERAL </w:t>
      </w:r>
      <w:r w:rsidR="004A079B" w:rsidRPr="00CB244C">
        <w:rPr>
          <w:b/>
          <w:sz w:val="22"/>
          <w:szCs w:val="22"/>
          <w:u w:val="single"/>
        </w:rPr>
        <w:t xml:space="preserve">INFORMATION </w:t>
      </w:r>
      <w:r w:rsidR="004A5D54">
        <w:rPr>
          <w:b/>
          <w:sz w:val="22"/>
          <w:szCs w:val="22"/>
          <w:u w:val="single"/>
        </w:rPr>
        <w:t xml:space="preserve"> </w:t>
      </w:r>
    </w:p>
    <w:p w14:paraId="1BC95D49" w14:textId="77777777" w:rsidR="00687628" w:rsidRPr="00687628" w:rsidRDefault="00687628" w:rsidP="00687628">
      <w:pPr>
        <w:spacing w:beforeAutospacing="1" w:afterAutospacing="1"/>
        <w:rPr>
          <w:rStyle w:val="Strong"/>
          <w:sz w:val="22"/>
          <w:szCs w:val="22"/>
          <w:u w:val="single"/>
          <w:lang w:val="en-GB"/>
        </w:rPr>
      </w:pPr>
      <w:r w:rsidRPr="00687628">
        <w:rPr>
          <w:rStyle w:val="Strong"/>
          <w:sz w:val="22"/>
          <w:szCs w:val="22"/>
          <w:u w:val="single"/>
          <w:lang w:val="en-GB"/>
        </w:rPr>
        <w:t>I.1) Name and address Contracting Authority</w:t>
      </w:r>
    </w:p>
    <w:p w14:paraId="170C6821" w14:textId="77777777" w:rsidR="00687628" w:rsidRPr="00687628" w:rsidRDefault="00687628" w:rsidP="00687628">
      <w:pPr>
        <w:pStyle w:val="ListParagraph"/>
        <w:spacing w:before="0" w:after="0"/>
        <w:ind w:left="0"/>
        <w:rPr>
          <w:bCs/>
          <w:sz w:val="22"/>
          <w:szCs w:val="22"/>
        </w:rPr>
      </w:pPr>
      <w:r w:rsidRPr="00687628">
        <w:rPr>
          <w:bCs/>
          <w:sz w:val="22"/>
          <w:szCs w:val="22"/>
        </w:rPr>
        <w:t>EULEX Kosovo – Procurement Section</w:t>
      </w:r>
    </w:p>
    <w:p w14:paraId="725F3766" w14:textId="1C79BAB5" w:rsidR="00687628" w:rsidRPr="00644480" w:rsidRDefault="00644480" w:rsidP="00644480">
      <w:pPr>
        <w:outlineLvl w:val="0"/>
        <w:rPr>
          <w:sz w:val="22"/>
          <w:szCs w:val="22"/>
          <w:lang w:val="es-ES_tradnl"/>
        </w:rPr>
      </w:pPr>
      <w:proofErr w:type="spellStart"/>
      <w:r w:rsidRPr="00644480">
        <w:rPr>
          <w:sz w:val="22"/>
          <w:szCs w:val="22"/>
          <w:lang w:val="es-ES_tradnl"/>
        </w:rPr>
        <w:t>Lidhja</w:t>
      </w:r>
      <w:proofErr w:type="spellEnd"/>
      <w:r w:rsidRPr="00644480">
        <w:rPr>
          <w:sz w:val="22"/>
          <w:szCs w:val="22"/>
          <w:lang w:val="es-ES_tradnl"/>
        </w:rPr>
        <w:t xml:space="preserve"> e </w:t>
      </w:r>
      <w:proofErr w:type="spellStart"/>
      <w:r w:rsidRPr="00644480">
        <w:rPr>
          <w:sz w:val="22"/>
          <w:szCs w:val="22"/>
          <w:lang w:val="es-ES_tradnl"/>
        </w:rPr>
        <w:t>Pejës</w:t>
      </w:r>
      <w:proofErr w:type="spellEnd"/>
      <w:r w:rsidRPr="00644480">
        <w:rPr>
          <w:sz w:val="22"/>
          <w:szCs w:val="22"/>
          <w:lang w:val="es-ES_tradnl"/>
        </w:rPr>
        <w:t xml:space="preserve">, Industrial </w:t>
      </w:r>
      <w:proofErr w:type="spellStart"/>
      <w:r w:rsidRPr="00644480">
        <w:rPr>
          <w:sz w:val="22"/>
          <w:szCs w:val="22"/>
          <w:lang w:val="es-ES_tradnl"/>
        </w:rPr>
        <w:t>Zone</w:t>
      </w:r>
      <w:proofErr w:type="spellEnd"/>
      <w:r w:rsidRPr="00644480">
        <w:rPr>
          <w:sz w:val="22"/>
          <w:szCs w:val="22"/>
          <w:lang w:val="es-ES_tradnl"/>
        </w:rPr>
        <w:t xml:space="preserve">, P.O. Box 268  </w:t>
      </w:r>
      <w:r w:rsidR="00B5152E" w:rsidRPr="00644480">
        <w:rPr>
          <w:sz w:val="22"/>
          <w:szCs w:val="22"/>
          <w:lang w:val="es-ES_tradnl"/>
        </w:rPr>
        <w:t xml:space="preserve"> </w:t>
      </w:r>
    </w:p>
    <w:p w14:paraId="211EB328" w14:textId="772FCD52" w:rsidR="00CF366A" w:rsidRDefault="00687628" w:rsidP="00AA22C6">
      <w:pPr>
        <w:outlineLvl w:val="0"/>
        <w:rPr>
          <w:sz w:val="22"/>
          <w:szCs w:val="22"/>
          <w:lang w:val="es-ES_tradnl"/>
        </w:rPr>
      </w:pPr>
      <w:r w:rsidRPr="00687628">
        <w:rPr>
          <w:sz w:val="22"/>
          <w:szCs w:val="22"/>
          <w:lang w:val="es-ES_tradnl"/>
        </w:rPr>
        <w:t>10000 Pristina, Kosovo</w:t>
      </w:r>
    </w:p>
    <w:p w14:paraId="63DBC0FA" w14:textId="76CF5321" w:rsidR="00644480" w:rsidRPr="00FA2F47" w:rsidRDefault="00644480" w:rsidP="00AA22C6">
      <w:pPr>
        <w:outlineLvl w:val="0"/>
        <w:rPr>
          <w:lang w:val="es-ES_tradnl"/>
        </w:rPr>
      </w:pPr>
      <w:r w:rsidRPr="00186695">
        <w:rPr>
          <w:rStyle w:val="Strong"/>
          <w:sz w:val="22"/>
          <w:szCs w:val="22"/>
          <w:u w:val="single"/>
          <w:lang w:val="en-GB"/>
        </w:rPr>
        <w:t>II</w:t>
      </w:r>
      <w:r w:rsidRPr="00644480">
        <w:rPr>
          <w:rStyle w:val="Strong"/>
          <w:sz w:val="22"/>
          <w:szCs w:val="22"/>
          <w:u w:val="single"/>
          <w:lang w:val="en-GB"/>
        </w:rPr>
        <w:t>.1.1) Title</w:t>
      </w:r>
      <w:r w:rsidRPr="00644480">
        <w:rPr>
          <w:b/>
          <w:sz w:val="22"/>
          <w:szCs w:val="22"/>
          <w:u w:val="single"/>
        </w:rPr>
        <w:t xml:space="preserve">: </w:t>
      </w:r>
      <w:r w:rsidRPr="00644480">
        <w:rPr>
          <w:sz w:val="22"/>
          <w:szCs w:val="22"/>
          <w:lang w:val="es-ES_tradnl"/>
        </w:rPr>
        <w:t xml:space="preserve">PROC/1261/24/Fuel </w:t>
      </w:r>
      <w:proofErr w:type="spellStart"/>
      <w:r w:rsidRPr="00644480">
        <w:rPr>
          <w:sz w:val="22"/>
          <w:szCs w:val="22"/>
          <w:lang w:val="es-ES_tradnl"/>
        </w:rPr>
        <w:t>Supply</w:t>
      </w:r>
      <w:proofErr w:type="spellEnd"/>
      <w:r w:rsidRPr="00644480">
        <w:rPr>
          <w:sz w:val="22"/>
          <w:szCs w:val="22"/>
          <w:lang w:val="es-ES_tradnl"/>
        </w:rPr>
        <w:t xml:space="preserve"> no.9</w:t>
      </w:r>
    </w:p>
    <w:p w14:paraId="0882407B" w14:textId="6FE8C2F6" w:rsidR="00CF366A" w:rsidRPr="008F66E7" w:rsidRDefault="00CF366A" w:rsidP="00EF74CF">
      <w:pPr>
        <w:outlineLvl w:val="0"/>
        <w:rPr>
          <w:rStyle w:val="Strong"/>
          <w:sz w:val="22"/>
          <w:szCs w:val="22"/>
          <w:u w:val="single"/>
          <w:lang w:val="en-GB"/>
        </w:rPr>
      </w:pPr>
      <w:r w:rsidRPr="008F66E7">
        <w:rPr>
          <w:rStyle w:val="Strong"/>
          <w:sz w:val="22"/>
          <w:szCs w:val="22"/>
          <w:u w:val="single"/>
          <w:lang w:val="en-GB"/>
        </w:rPr>
        <w:t>II.1.2) Main CPV</w:t>
      </w:r>
      <w:r w:rsidR="000617C9" w:rsidRPr="008F66E7">
        <w:rPr>
          <w:rStyle w:val="FootnoteReference"/>
          <w:b/>
          <w:sz w:val="22"/>
          <w:szCs w:val="22"/>
          <w:u w:val="single"/>
          <w:lang w:val="en-GB"/>
        </w:rPr>
        <w:footnoteReference w:id="1"/>
      </w:r>
      <w:r w:rsidRPr="008F66E7">
        <w:rPr>
          <w:rStyle w:val="Strong"/>
          <w:sz w:val="22"/>
          <w:szCs w:val="22"/>
          <w:u w:val="single"/>
          <w:lang w:val="en-GB"/>
        </w:rPr>
        <w:t xml:space="preserve"> code</w:t>
      </w:r>
    </w:p>
    <w:p w14:paraId="57BD9A50" w14:textId="33FDE9E3" w:rsidR="00010B32" w:rsidRPr="00644480" w:rsidRDefault="0011245D" w:rsidP="00010B32">
      <w:pPr>
        <w:outlineLvl w:val="0"/>
        <w:rPr>
          <w:rStyle w:val="Strong"/>
          <w:b w:val="0"/>
          <w:sz w:val="22"/>
          <w:szCs w:val="22"/>
          <w:lang w:val="en-GB"/>
        </w:rPr>
      </w:pPr>
      <w:r w:rsidRPr="0011245D">
        <w:rPr>
          <w:rStyle w:val="Strong"/>
          <w:b w:val="0"/>
          <w:sz w:val="22"/>
          <w:szCs w:val="22"/>
          <w:lang w:val="en-GB"/>
        </w:rPr>
        <w:t>Lot 1: 09000000-3</w:t>
      </w:r>
      <w:r w:rsidR="007C201A" w:rsidRPr="0011245D">
        <w:rPr>
          <w:rStyle w:val="Strong"/>
          <w:b w:val="0"/>
          <w:sz w:val="22"/>
          <w:szCs w:val="22"/>
          <w:lang w:val="en-GB"/>
        </w:rPr>
        <w:br/>
      </w:r>
      <w:r w:rsidR="007C201A">
        <w:rPr>
          <w:rStyle w:val="Strong"/>
          <w:sz w:val="22"/>
          <w:szCs w:val="22"/>
          <w:u w:val="single"/>
          <w:lang w:val="en-GB"/>
        </w:rPr>
        <w:br/>
      </w:r>
      <w:r w:rsidR="00010B32" w:rsidRPr="00687628">
        <w:rPr>
          <w:rStyle w:val="Strong"/>
          <w:sz w:val="22"/>
          <w:szCs w:val="22"/>
          <w:u w:val="single"/>
          <w:lang w:val="en-GB"/>
        </w:rPr>
        <w:t>II.1.3) Type of contract</w:t>
      </w:r>
    </w:p>
    <w:p w14:paraId="382700E3" w14:textId="03E37BD3" w:rsidR="00010B32" w:rsidRPr="00687628" w:rsidRDefault="00687628" w:rsidP="008F66E7">
      <w:pPr>
        <w:pStyle w:val="Blockquote"/>
        <w:ind w:left="0"/>
        <w:jc w:val="both"/>
        <w:rPr>
          <w:rStyle w:val="Strong"/>
          <w:b w:val="0"/>
          <w:i/>
          <w:sz w:val="22"/>
          <w:szCs w:val="22"/>
          <w:lang w:val="en-GB"/>
        </w:rPr>
      </w:pPr>
      <w:r w:rsidRPr="00687628">
        <w:rPr>
          <w:rStyle w:val="Emphasis"/>
          <w:i w:val="0"/>
          <w:sz w:val="22"/>
          <w:szCs w:val="22"/>
          <w:lang w:val="en-GB"/>
        </w:rPr>
        <w:t>Supplies</w:t>
      </w:r>
      <w:r w:rsidR="00010B32" w:rsidRPr="00687628">
        <w:rPr>
          <w:rStyle w:val="Emphasis"/>
          <w:i w:val="0"/>
          <w:sz w:val="22"/>
          <w:szCs w:val="22"/>
          <w:lang w:val="en-GB"/>
        </w:rPr>
        <w:t xml:space="preserve"> </w:t>
      </w:r>
    </w:p>
    <w:p w14:paraId="355F962B" w14:textId="301F3452" w:rsidR="00EF74CF" w:rsidRPr="00687628" w:rsidRDefault="00EF74CF" w:rsidP="008F66E7">
      <w:pPr>
        <w:spacing w:before="240" w:after="120"/>
        <w:outlineLvl w:val="0"/>
        <w:rPr>
          <w:rStyle w:val="Strong"/>
          <w:sz w:val="22"/>
          <w:szCs w:val="22"/>
          <w:u w:val="single"/>
          <w:lang w:val="en-GB"/>
        </w:rPr>
      </w:pPr>
      <w:r w:rsidRPr="00687628">
        <w:rPr>
          <w:rStyle w:val="Strong"/>
          <w:sz w:val="22"/>
          <w:szCs w:val="22"/>
          <w:u w:val="single"/>
          <w:lang w:val="en-GB"/>
        </w:rPr>
        <w:t>II.1.4) Short description of the contract</w:t>
      </w:r>
    </w:p>
    <w:p w14:paraId="2F10B4EE" w14:textId="417BF266" w:rsidR="00EF74CF" w:rsidRPr="00687628" w:rsidRDefault="00687628" w:rsidP="00EF74CF">
      <w:pPr>
        <w:pStyle w:val="Blockquote"/>
        <w:ind w:left="0"/>
        <w:jc w:val="both"/>
        <w:rPr>
          <w:i/>
          <w:sz w:val="22"/>
          <w:szCs w:val="22"/>
          <w:lang w:val="en-GB"/>
        </w:rPr>
      </w:pPr>
      <w:r w:rsidRPr="00687628">
        <w:rPr>
          <w:iCs/>
          <w:sz w:val="22"/>
          <w:szCs w:val="22"/>
          <w:lang w:val="en-GB"/>
        </w:rPr>
        <w:t xml:space="preserve">The subject of the contract shall be the </w:t>
      </w:r>
      <w:r w:rsidR="00B12FD0">
        <w:rPr>
          <w:color w:val="000000"/>
          <w:szCs w:val="24"/>
        </w:rPr>
        <w:t xml:space="preserve">supply of fuel for vehicles, central </w:t>
      </w:r>
      <w:proofErr w:type="gramStart"/>
      <w:r w:rsidR="00B12FD0">
        <w:rPr>
          <w:color w:val="000000"/>
          <w:szCs w:val="24"/>
        </w:rPr>
        <w:t>heating</w:t>
      </w:r>
      <w:proofErr w:type="gramEnd"/>
      <w:r w:rsidR="00B12FD0">
        <w:rPr>
          <w:color w:val="000000"/>
          <w:szCs w:val="24"/>
        </w:rPr>
        <w:t xml:space="preserve"> and generators (diesel and petrol) </w:t>
      </w:r>
      <w:r w:rsidRPr="00687628">
        <w:rPr>
          <w:iCs/>
          <w:sz w:val="22"/>
          <w:szCs w:val="22"/>
          <w:lang w:val="en-GB"/>
        </w:rPr>
        <w:t xml:space="preserve">by the Contractor </w:t>
      </w:r>
      <w:r w:rsidRPr="00687628">
        <w:rPr>
          <w:iCs/>
          <w:sz w:val="22"/>
          <w:szCs w:val="22"/>
        </w:rPr>
        <w:t xml:space="preserve">(see Annex II and III of the Tender Dossier for the relevant </w:t>
      </w:r>
      <w:r w:rsidRPr="006D0A6B">
        <w:rPr>
          <w:iCs/>
          <w:sz w:val="22"/>
          <w:szCs w:val="22"/>
        </w:rPr>
        <w:t>description of the items and the estimated quantities per yearly consumption)</w:t>
      </w:r>
      <w:r w:rsidRPr="006D0A6B">
        <w:rPr>
          <w:iCs/>
          <w:sz w:val="22"/>
          <w:szCs w:val="22"/>
          <w:lang w:val="en-GB"/>
        </w:rPr>
        <w:t>, for EULEX Kosovo, Pristina.</w:t>
      </w:r>
    </w:p>
    <w:p w14:paraId="25B4A427" w14:textId="77777777" w:rsidR="00687628" w:rsidRPr="00687628" w:rsidRDefault="00B513FE" w:rsidP="00687628">
      <w:pPr>
        <w:outlineLvl w:val="0"/>
        <w:rPr>
          <w:rStyle w:val="Strong"/>
          <w:sz w:val="22"/>
          <w:szCs w:val="22"/>
          <w:u w:val="single"/>
          <w:lang w:val="en-GB"/>
        </w:rPr>
      </w:pPr>
      <w:r w:rsidRPr="00687628">
        <w:rPr>
          <w:rStyle w:val="Strong"/>
          <w:sz w:val="22"/>
          <w:szCs w:val="22"/>
          <w:lang w:val="en-GB"/>
        </w:rPr>
        <w:br/>
      </w:r>
      <w:r w:rsidR="00687628" w:rsidRPr="00687628">
        <w:rPr>
          <w:rStyle w:val="Strong"/>
          <w:sz w:val="22"/>
          <w:szCs w:val="22"/>
          <w:u w:val="single"/>
          <w:lang w:val="en-GB"/>
        </w:rPr>
        <w:t xml:space="preserve">II.1.5) Estimated total </w:t>
      </w:r>
      <w:proofErr w:type="gramStart"/>
      <w:r w:rsidR="00687628" w:rsidRPr="00687628">
        <w:rPr>
          <w:rStyle w:val="Strong"/>
          <w:sz w:val="22"/>
          <w:szCs w:val="22"/>
          <w:u w:val="single"/>
          <w:lang w:val="en-GB"/>
        </w:rPr>
        <w:t>value</w:t>
      </w:r>
      <w:proofErr w:type="gramEnd"/>
    </w:p>
    <w:p w14:paraId="1E0A2DA8" w14:textId="77777777" w:rsidR="00687628" w:rsidRPr="00687628" w:rsidRDefault="00687628" w:rsidP="00687628">
      <w:pPr>
        <w:outlineLvl w:val="0"/>
        <w:rPr>
          <w:rStyle w:val="Strong"/>
          <w:b w:val="0"/>
          <w:sz w:val="22"/>
          <w:szCs w:val="22"/>
          <w:lang w:val="en-GB"/>
        </w:rPr>
      </w:pPr>
      <w:r w:rsidRPr="00687628">
        <w:rPr>
          <w:rStyle w:val="Strong"/>
          <w:b w:val="0"/>
          <w:sz w:val="22"/>
          <w:szCs w:val="22"/>
          <w:lang w:val="en-GB"/>
        </w:rPr>
        <w:t>Not applicable</w:t>
      </w:r>
    </w:p>
    <w:p w14:paraId="0786566F" w14:textId="4F3126D5" w:rsidR="00687628" w:rsidRPr="00687628" w:rsidRDefault="00687628" w:rsidP="00687628">
      <w:pPr>
        <w:outlineLvl w:val="0"/>
        <w:rPr>
          <w:rStyle w:val="Strong"/>
          <w:sz w:val="22"/>
          <w:szCs w:val="22"/>
          <w:u w:val="single"/>
          <w:lang w:val="en-GB"/>
        </w:rPr>
      </w:pPr>
      <w:r w:rsidRPr="00687628">
        <w:rPr>
          <w:rStyle w:val="Strong"/>
          <w:sz w:val="22"/>
          <w:szCs w:val="22"/>
          <w:u w:val="single"/>
          <w:lang w:val="en-GB"/>
        </w:rPr>
        <w:t>IV.1.1.) Type of Procedure</w:t>
      </w:r>
    </w:p>
    <w:p w14:paraId="2FB0BEEE" w14:textId="4FF0D968" w:rsidR="00EF74CF" w:rsidRPr="00687628" w:rsidRDefault="00687628" w:rsidP="00EF74CF">
      <w:pPr>
        <w:outlineLvl w:val="0"/>
        <w:rPr>
          <w:rStyle w:val="Strong"/>
          <w:b w:val="0"/>
          <w:sz w:val="22"/>
          <w:szCs w:val="22"/>
          <w:u w:val="single"/>
          <w:lang w:val="en-GB"/>
        </w:rPr>
      </w:pPr>
      <w:r w:rsidRPr="00687628">
        <w:rPr>
          <w:rStyle w:val="Strong"/>
          <w:b w:val="0"/>
          <w:sz w:val="22"/>
          <w:szCs w:val="22"/>
          <w:u w:val="single"/>
          <w:lang w:val="en-GB"/>
        </w:rPr>
        <w:t>Open</w:t>
      </w:r>
      <w:r w:rsidRPr="00687628">
        <w:rPr>
          <w:rStyle w:val="Strong"/>
          <w:b w:val="0"/>
          <w:sz w:val="22"/>
          <w:szCs w:val="22"/>
          <w:u w:val="single"/>
          <w:lang w:val="en-GB"/>
        </w:rPr>
        <w:br/>
      </w:r>
      <w:r w:rsidR="00B513FE" w:rsidRPr="00687628">
        <w:rPr>
          <w:rStyle w:val="Strong"/>
          <w:sz w:val="22"/>
          <w:szCs w:val="22"/>
          <w:lang w:val="en-GB"/>
        </w:rPr>
        <w:br/>
      </w:r>
      <w:r w:rsidR="00EF74CF" w:rsidRPr="00687628">
        <w:rPr>
          <w:rStyle w:val="Strong"/>
          <w:sz w:val="22"/>
          <w:szCs w:val="22"/>
          <w:u w:val="single"/>
          <w:lang w:val="en-GB"/>
        </w:rPr>
        <w:t>II.1.6) Information about lots</w:t>
      </w:r>
    </w:p>
    <w:p w14:paraId="3522A1F6" w14:textId="35B93F4A" w:rsidR="00687628" w:rsidRPr="00687628" w:rsidRDefault="00EF74CF" w:rsidP="00EF74CF">
      <w:pPr>
        <w:outlineLvl w:val="0"/>
        <w:rPr>
          <w:rStyle w:val="Strong"/>
          <w:b w:val="0"/>
          <w:sz w:val="22"/>
          <w:szCs w:val="22"/>
          <w:lang w:val="en-GB"/>
        </w:rPr>
      </w:pPr>
      <w:r w:rsidRPr="00687628">
        <w:rPr>
          <w:rStyle w:val="Strong"/>
          <w:b w:val="0"/>
          <w:sz w:val="22"/>
          <w:szCs w:val="22"/>
          <w:lang w:val="en-GB"/>
        </w:rPr>
        <w:t>This contract is divided into lots</w:t>
      </w:r>
      <w:r w:rsidR="00687628" w:rsidRPr="00687628">
        <w:rPr>
          <w:rStyle w:val="Strong"/>
          <w:b w:val="0"/>
          <w:sz w:val="22"/>
          <w:szCs w:val="22"/>
          <w:lang w:val="en-GB"/>
        </w:rPr>
        <w:t xml:space="preserve">: </w:t>
      </w:r>
      <w:r w:rsidR="00644480">
        <w:rPr>
          <w:rStyle w:val="Strong"/>
          <w:b w:val="0"/>
          <w:sz w:val="22"/>
          <w:szCs w:val="22"/>
          <w:lang w:val="en-GB"/>
        </w:rPr>
        <w:t>no</w:t>
      </w:r>
    </w:p>
    <w:p w14:paraId="3F22C197" w14:textId="70C410A8" w:rsidR="00DB35A9" w:rsidRPr="00D67F00" w:rsidRDefault="00297B55" w:rsidP="008F66E7">
      <w:pPr>
        <w:outlineLvl w:val="0"/>
        <w:rPr>
          <w:b/>
          <w:sz w:val="22"/>
          <w:szCs w:val="22"/>
          <w:u w:val="single"/>
        </w:rPr>
      </w:pPr>
      <w:r w:rsidRPr="00D67F00">
        <w:rPr>
          <w:rStyle w:val="Strong"/>
          <w:sz w:val="22"/>
          <w:szCs w:val="22"/>
          <w:u w:val="single"/>
        </w:rPr>
        <w:t>CALL FOR TENDER: INFORMATION PER LOT</w:t>
      </w:r>
    </w:p>
    <w:p w14:paraId="7D4F0EE4" w14:textId="3B04BFB3" w:rsidR="00687628" w:rsidRPr="00644480" w:rsidRDefault="00644480" w:rsidP="00687628">
      <w:pPr>
        <w:outlineLvl w:val="0"/>
        <w:rPr>
          <w:rStyle w:val="Strong"/>
          <w:b w:val="0"/>
          <w:bCs/>
          <w:sz w:val="22"/>
          <w:szCs w:val="22"/>
        </w:rPr>
      </w:pPr>
      <w:r w:rsidRPr="00644480">
        <w:rPr>
          <w:rStyle w:val="Strong"/>
          <w:b w:val="0"/>
          <w:bCs/>
          <w:sz w:val="22"/>
          <w:szCs w:val="22"/>
        </w:rPr>
        <w:t>This tender is not divided into Lots</w:t>
      </w:r>
      <w:r>
        <w:rPr>
          <w:rStyle w:val="Strong"/>
          <w:b w:val="0"/>
          <w:bCs/>
          <w:sz w:val="22"/>
          <w:szCs w:val="22"/>
        </w:rPr>
        <w:t>.</w:t>
      </w:r>
    </w:p>
    <w:p w14:paraId="7AA216B3" w14:textId="4794EBC9" w:rsidR="00524367" w:rsidRPr="00687628" w:rsidRDefault="00524367" w:rsidP="00EF74CF">
      <w:pPr>
        <w:outlineLvl w:val="0"/>
        <w:rPr>
          <w:rStyle w:val="Strong"/>
          <w:b w:val="0"/>
          <w:sz w:val="22"/>
          <w:szCs w:val="22"/>
        </w:rPr>
      </w:pPr>
      <w:r w:rsidRPr="00687628">
        <w:rPr>
          <w:rStyle w:val="Strong"/>
          <w:sz w:val="22"/>
          <w:szCs w:val="22"/>
        </w:rPr>
        <w:t>II.2.2) Additional CPV code(s)</w:t>
      </w:r>
    </w:p>
    <w:p w14:paraId="5354A0CB" w14:textId="3A37F6CF" w:rsidR="00947EF4" w:rsidRPr="00687628" w:rsidRDefault="00687628" w:rsidP="00EF74CF">
      <w:pPr>
        <w:outlineLvl w:val="0"/>
        <w:rPr>
          <w:rStyle w:val="Emphasis"/>
          <w:i w:val="0"/>
          <w:sz w:val="22"/>
          <w:szCs w:val="22"/>
        </w:rPr>
      </w:pPr>
      <w:r w:rsidRPr="00687628">
        <w:rPr>
          <w:rStyle w:val="Strong"/>
          <w:b w:val="0"/>
          <w:sz w:val="22"/>
          <w:szCs w:val="22"/>
        </w:rPr>
        <w:t>n/a</w:t>
      </w:r>
    </w:p>
    <w:p w14:paraId="7579633B" w14:textId="63C013FD" w:rsidR="00EF74CF" w:rsidRPr="00687628" w:rsidRDefault="00EF74CF" w:rsidP="00EF74CF">
      <w:pPr>
        <w:outlineLvl w:val="0"/>
        <w:rPr>
          <w:rStyle w:val="Strong"/>
          <w:sz w:val="22"/>
          <w:szCs w:val="22"/>
          <w:u w:val="single"/>
        </w:rPr>
      </w:pPr>
      <w:r w:rsidRPr="00687628">
        <w:rPr>
          <w:rStyle w:val="Strong"/>
          <w:sz w:val="22"/>
          <w:szCs w:val="22"/>
        </w:rPr>
        <w:br/>
      </w:r>
      <w:r w:rsidRPr="00687628">
        <w:rPr>
          <w:rStyle w:val="Strong"/>
          <w:sz w:val="22"/>
          <w:szCs w:val="22"/>
          <w:u w:val="single"/>
        </w:rPr>
        <w:lastRenderedPageBreak/>
        <w:t xml:space="preserve">II.2.3) Place </w:t>
      </w:r>
      <w:r w:rsidR="000E767D" w:rsidRPr="00687628">
        <w:rPr>
          <w:rStyle w:val="Strong"/>
          <w:sz w:val="22"/>
          <w:szCs w:val="22"/>
          <w:u w:val="single"/>
        </w:rPr>
        <w:t xml:space="preserve">of </w:t>
      </w:r>
      <w:r w:rsidRPr="00687628">
        <w:rPr>
          <w:rStyle w:val="Strong"/>
          <w:sz w:val="22"/>
          <w:szCs w:val="22"/>
          <w:u w:val="single"/>
        </w:rPr>
        <w:t>performance</w:t>
      </w:r>
    </w:p>
    <w:p w14:paraId="027A0296" w14:textId="77777777" w:rsidR="00186695" w:rsidRDefault="00687628" w:rsidP="00EF74CF">
      <w:pPr>
        <w:outlineLvl w:val="0"/>
        <w:rPr>
          <w:rStyle w:val="Strong"/>
          <w:b w:val="0"/>
          <w:sz w:val="22"/>
          <w:szCs w:val="22"/>
          <w:lang w:val="en-GB"/>
        </w:rPr>
      </w:pPr>
      <w:r w:rsidRPr="00687628">
        <w:rPr>
          <w:rStyle w:val="Strong"/>
          <w:b w:val="0"/>
          <w:sz w:val="22"/>
          <w:szCs w:val="22"/>
          <w:lang w:val="en-GB"/>
        </w:rPr>
        <w:t xml:space="preserve">Geographical zone benefitting from the action: </w:t>
      </w:r>
      <w:r w:rsidRPr="00687628">
        <w:rPr>
          <w:rStyle w:val="Emphasis"/>
          <w:i w:val="0"/>
          <w:sz w:val="22"/>
          <w:szCs w:val="22"/>
          <w:lang w:val="en-GB"/>
        </w:rPr>
        <w:t>(Kosovo time zone).</w:t>
      </w:r>
    </w:p>
    <w:p w14:paraId="6541ED88" w14:textId="7A935D94" w:rsidR="00EF74CF" w:rsidRPr="00186695" w:rsidRDefault="003C10AA" w:rsidP="00EF74CF">
      <w:pPr>
        <w:outlineLvl w:val="0"/>
        <w:rPr>
          <w:rStyle w:val="Strong"/>
          <w:b w:val="0"/>
          <w:sz w:val="22"/>
          <w:szCs w:val="22"/>
          <w:lang w:val="en-GB"/>
        </w:rPr>
      </w:pPr>
      <w:r w:rsidRPr="00687628">
        <w:rPr>
          <w:rStyle w:val="Strong"/>
          <w:sz w:val="22"/>
          <w:szCs w:val="22"/>
          <w:lang w:val="en-GB"/>
        </w:rPr>
        <w:br/>
      </w:r>
      <w:r w:rsidR="00EF74CF" w:rsidRPr="00687628">
        <w:rPr>
          <w:rStyle w:val="Strong"/>
          <w:sz w:val="22"/>
          <w:szCs w:val="22"/>
          <w:u w:val="single"/>
          <w:lang w:val="en-GB"/>
        </w:rPr>
        <w:t>II.2.5</w:t>
      </w:r>
      <w:proofErr w:type="gramStart"/>
      <w:r w:rsidR="00EF74CF" w:rsidRPr="00687628">
        <w:rPr>
          <w:rStyle w:val="Strong"/>
          <w:sz w:val="22"/>
          <w:szCs w:val="22"/>
          <w:u w:val="single"/>
          <w:lang w:val="en-GB"/>
        </w:rPr>
        <w:t>)  Award</w:t>
      </w:r>
      <w:proofErr w:type="gramEnd"/>
      <w:r w:rsidR="00EF74CF" w:rsidRPr="00687628">
        <w:rPr>
          <w:rStyle w:val="Strong"/>
          <w:sz w:val="22"/>
          <w:szCs w:val="22"/>
          <w:u w:val="single"/>
          <w:lang w:val="en-GB"/>
        </w:rPr>
        <w:t xml:space="preserve"> Criteria</w:t>
      </w:r>
    </w:p>
    <w:p w14:paraId="41C0250D" w14:textId="02E4040C" w:rsidR="00EF74CF" w:rsidRPr="00AA22C6" w:rsidRDefault="00687628" w:rsidP="00EF74CF">
      <w:pPr>
        <w:outlineLvl w:val="0"/>
        <w:rPr>
          <w:rStyle w:val="Strong"/>
          <w:b w:val="0"/>
          <w:sz w:val="22"/>
          <w:szCs w:val="22"/>
        </w:rPr>
      </w:pPr>
      <w:r w:rsidRPr="00687628">
        <w:rPr>
          <w:rStyle w:val="Strong"/>
          <w:b w:val="0"/>
          <w:sz w:val="22"/>
          <w:szCs w:val="22"/>
          <w:lang w:val="en-GB"/>
        </w:rPr>
        <w:t>Price</w:t>
      </w:r>
      <w:r w:rsidR="00EF74CF" w:rsidRPr="00687628">
        <w:rPr>
          <w:rStyle w:val="Strong"/>
          <w:b w:val="0"/>
          <w:sz w:val="22"/>
          <w:szCs w:val="22"/>
          <w:lang w:val="en-GB"/>
        </w:rPr>
        <w:br/>
      </w:r>
      <w:r w:rsidR="00EF74CF">
        <w:rPr>
          <w:rStyle w:val="Strong"/>
          <w:sz w:val="22"/>
          <w:szCs w:val="22"/>
          <w:u w:val="single"/>
          <w:lang w:val="en-GB"/>
        </w:rPr>
        <w:br/>
      </w:r>
      <w:r w:rsidR="00EF74CF" w:rsidRPr="00D67F00">
        <w:rPr>
          <w:rStyle w:val="Strong"/>
          <w:sz w:val="22"/>
          <w:szCs w:val="22"/>
          <w:u w:val="single"/>
          <w:lang w:val="en-GB"/>
        </w:rPr>
        <w:t>II.2.14) Additional information</w:t>
      </w:r>
    </w:p>
    <w:p w14:paraId="697C1202" w14:textId="4E228143" w:rsidR="006C0693" w:rsidRDefault="00687628" w:rsidP="00BB3DD7">
      <w:pPr>
        <w:jc w:val="both"/>
        <w:outlineLvl w:val="0"/>
        <w:rPr>
          <w:rStyle w:val="Strong"/>
          <w:b w:val="0"/>
          <w:sz w:val="22"/>
          <w:szCs w:val="22"/>
          <w:lang w:val="en-GB"/>
        </w:rPr>
      </w:pPr>
      <w:r w:rsidRPr="005D2BD8">
        <w:rPr>
          <w:rStyle w:val="Strong"/>
          <w:b w:val="0"/>
          <w:sz w:val="22"/>
          <w:szCs w:val="22"/>
          <w:lang w:val="en-GB"/>
        </w:rPr>
        <w:t>Not applicable</w:t>
      </w:r>
      <w:r w:rsidR="00D44E75" w:rsidRPr="00D44E75">
        <w:rPr>
          <w:rStyle w:val="Strong"/>
          <w:b w:val="0"/>
          <w:sz w:val="22"/>
          <w:szCs w:val="22"/>
          <w:lang w:val="en-GB"/>
        </w:rPr>
        <w:t>.</w:t>
      </w:r>
    </w:p>
    <w:p w14:paraId="4772D783" w14:textId="3486CEBA"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w:t>
      </w:r>
    </w:p>
    <w:p w14:paraId="4FC4E21B" w14:textId="61FB8B77" w:rsidR="00687628" w:rsidRDefault="00687628" w:rsidP="00186695">
      <w:pPr>
        <w:jc w:val="both"/>
        <w:outlineLvl w:val="0"/>
        <w:rPr>
          <w:sz w:val="22"/>
          <w:szCs w:val="22"/>
          <w:lang w:val="en-GB"/>
        </w:rPr>
      </w:pPr>
      <w:r w:rsidRPr="00035622">
        <w:rPr>
          <w:sz w:val="22"/>
          <w:szCs w:val="22"/>
          <w:lang w:val="en-GB"/>
        </w:rPr>
        <w:t xml:space="preserve">On </w:t>
      </w:r>
      <w:r w:rsidR="00035622" w:rsidRPr="00035622">
        <w:rPr>
          <w:b/>
          <w:sz w:val="22"/>
          <w:szCs w:val="22"/>
          <w:u w:val="single"/>
          <w:lang w:val="en-GB"/>
        </w:rPr>
        <w:t>14/05</w:t>
      </w:r>
      <w:r w:rsidRPr="00035622">
        <w:rPr>
          <w:b/>
          <w:sz w:val="22"/>
          <w:szCs w:val="22"/>
          <w:u w:val="single"/>
          <w:lang w:val="en-GB"/>
        </w:rPr>
        <w:t>/202</w:t>
      </w:r>
      <w:r w:rsidR="00FA2F47" w:rsidRPr="00035622">
        <w:rPr>
          <w:b/>
          <w:sz w:val="22"/>
          <w:szCs w:val="22"/>
          <w:u w:val="single"/>
          <w:lang w:val="en-GB"/>
        </w:rPr>
        <w:t>4</w:t>
      </w:r>
      <w:r w:rsidRPr="00035622">
        <w:rPr>
          <w:b/>
          <w:sz w:val="22"/>
          <w:szCs w:val="22"/>
          <w:u w:val="single"/>
          <w:lang w:val="en-GB"/>
        </w:rPr>
        <w:t xml:space="preserve"> at </w:t>
      </w:r>
      <w:r w:rsidR="00BE2F05" w:rsidRPr="00035622">
        <w:rPr>
          <w:b/>
          <w:sz w:val="22"/>
          <w:szCs w:val="22"/>
          <w:u w:val="single"/>
          <w:lang w:val="en-GB"/>
        </w:rPr>
        <w:t>14</w:t>
      </w:r>
      <w:r w:rsidRPr="00035622">
        <w:rPr>
          <w:b/>
          <w:sz w:val="22"/>
          <w:szCs w:val="22"/>
          <w:u w:val="single"/>
          <w:lang w:val="en-GB"/>
        </w:rPr>
        <w:t>:</w:t>
      </w:r>
      <w:r w:rsidR="00BE2F05" w:rsidRPr="00035622">
        <w:rPr>
          <w:b/>
          <w:sz w:val="22"/>
          <w:szCs w:val="22"/>
          <w:u w:val="single"/>
          <w:lang w:val="en-GB"/>
        </w:rPr>
        <w:t>00</w:t>
      </w:r>
      <w:r w:rsidRPr="00035622">
        <w:rPr>
          <w:b/>
          <w:sz w:val="22"/>
          <w:szCs w:val="22"/>
          <w:u w:val="single"/>
          <w:lang w:val="en-GB"/>
        </w:rPr>
        <w:t>hrs</w:t>
      </w:r>
      <w:r w:rsidRPr="00204DDE">
        <w:rPr>
          <w:b/>
          <w:sz w:val="22"/>
          <w:szCs w:val="22"/>
          <w:u w:val="single"/>
          <w:lang w:val="en-GB"/>
        </w:rPr>
        <w:t xml:space="preserve">, </w:t>
      </w:r>
      <w:r w:rsidRPr="00204DDE">
        <w:rPr>
          <w:sz w:val="22"/>
          <w:szCs w:val="22"/>
          <w:lang w:val="en-GB"/>
        </w:rPr>
        <w:t xml:space="preserve">(Kosovo time zone) at EULEX, Procurement Section, </w:t>
      </w:r>
      <w:proofErr w:type="spellStart"/>
      <w:r w:rsidR="00644480" w:rsidRPr="00644480">
        <w:rPr>
          <w:sz w:val="22"/>
          <w:szCs w:val="22"/>
          <w:lang w:val="en-GB"/>
        </w:rPr>
        <w:t>Lidhja</w:t>
      </w:r>
      <w:proofErr w:type="spellEnd"/>
      <w:r w:rsidR="00644480" w:rsidRPr="00644480">
        <w:rPr>
          <w:sz w:val="22"/>
          <w:szCs w:val="22"/>
          <w:lang w:val="en-GB"/>
        </w:rPr>
        <w:t xml:space="preserve"> e </w:t>
      </w:r>
      <w:proofErr w:type="spellStart"/>
      <w:r w:rsidR="00644480" w:rsidRPr="00644480">
        <w:rPr>
          <w:sz w:val="22"/>
          <w:szCs w:val="22"/>
          <w:lang w:val="en-GB"/>
        </w:rPr>
        <w:t>Pejës</w:t>
      </w:r>
      <w:proofErr w:type="spellEnd"/>
      <w:r w:rsidR="00644480" w:rsidRPr="00644480">
        <w:rPr>
          <w:sz w:val="22"/>
          <w:szCs w:val="22"/>
          <w:lang w:val="en-GB"/>
        </w:rPr>
        <w:t xml:space="preserve">, Industrial Zone, P.O. Box </w:t>
      </w:r>
      <w:proofErr w:type="gramStart"/>
      <w:r w:rsidR="00644480" w:rsidRPr="00644480">
        <w:rPr>
          <w:sz w:val="22"/>
          <w:szCs w:val="22"/>
          <w:lang w:val="en-GB"/>
        </w:rPr>
        <w:t xml:space="preserve">268  </w:t>
      </w:r>
      <w:r w:rsidRPr="00204DDE">
        <w:rPr>
          <w:sz w:val="22"/>
          <w:szCs w:val="22"/>
          <w:lang w:val="en-GB"/>
        </w:rPr>
        <w:t>,</w:t>
      </w:r>
      <w:proofErr w:type="gramEnd"/>
      <w:r w:rsidRPr="00204DDE">
        <w:rPr>
          <w:sz w:val="22"/>
          <w:szCs w:val="22"/>
          <w:lang w:val="en-GB"/>
        </w:rPr>
        <w:t xml:space="preserve"> 10000 Pristina, Kosovo.</w:t>
      </w:r>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 xml:space="preserve">IV.2.6) Minimum time frame during which the tenderer must maintain the </w:t>
      </w:r>
      <w:proofErr w:type="gramStart"/>
      <w:r w:rsidRPr="007C201A">
        <w:rPr>
          <w:rStyle w:val="Strong"/>
          <w:sz w:val="22"/>
          <w:szCs w:val="22"/>
          <w:u w:val="single"/>
          <w:lang w:val="en-GB"/>
        </w:rPr>
        <w:t>tender</w:t>
      </w:r>
      <w:proofErr w:type="gramEnd"/>
    </w:p>
    <w:p w14:paraId="7E6E5D8F" w14:textId="77777777" w:rsidR="00687628" w:rsidRPr="00480598" w:rsidRDefault="00687628" w:rsidP="00687628">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55383D0A" w14:textId="77777777" w:rsidR="00644480" w:rsidRDefault="00687628" w:rsidP="00644480">
      <w:pPr>
        <w:jc w:val="both"/>
        <w:outlineLvl w:val="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2E7EE587" w:rsidR="00CC6D8C" w:rsidRPr="00644480" w:rsidRDefault="00CC6D8C" w:rsidP="00644480">
      <w:pPr>
        <w:jc w:val="both"/>
        <w:outlineLvl w:val="0"/>
        <w:rPr>
          <w:rStyle w:val="Strong"/>
          <w:sz w:val="22"/>
          <w:szCs w:val="22"/>
        </w:rPr>
      </w:pPr>
      <w:r>
        <w:rPr>
          <w:rStyle w:val="Strong"/>
          <w:sz w:val="22"/>
          <w:szCs w:val="22"/>
          <w:u w:val="single"/>
          <w:lang w:val="en-GB"/>
        </w:rPr>
        <w:br/>
      </w:r>
      <w:r w:rsidRPr="00644480">
        <w:rPr>
          <w:rStyle w:val="Strong"/>
          <w:sz w:val="22"/>
          <w:szCs w:val="22"/>
          <w:u w:val="single"/>
          <w:lang w:val="en-GB"/>
        </w:rPr>
        <w:t xml:space="preserve">IV.2.7) Conditions for opening of </w:t>
      </w:r>
      <w:proofErr w:type="gramStart"/>
      <w:r w:rsidRPr="00644480">
        <w:rPr>
          <w:rStyle w:val="Strong"/>
          <w:sz w:val="22"/>
          <w:szCs w:val="22"/>
          <w:u w:val="single"/>
          <w:lang w:val="en-GB"/>
        </w:rPr>
        <w:t>tenders</w:t>
      </w:r>
      <w:proofErr w:type="gramEnd"/>
      <w:r w:rsidRPr="00644480">
        <w:rPr>
          <w:rStyle w:val="Strong"/>
          <w:sz w:val="22"/>
          <w:szCs w:val="22"/>
          <w:u w:val="single"/>
          <w:lang w:val="en-GB"/>
        </w:rPr>
        <w:t xml:space="preserve"> </w:t>
      </w:r>
    </w:p>
    <w:p w14:paraId="5B84DDC6" w14:textId="676CACA5" w:rsidR="00687628" w:rsidRPr="00644480" w:rsidRDefault="00687628" w:rsidP="00687628">
      <w:pPr>
        <w:pStyle w:val="ListParagraph"/>
        <w:spacing w:before="0" w:after="0"/>
        <w:ind w:left="0"/>
        <w:rPr>
          <w:sz w:val="22"/>
          <w:szCs w:val="22"/>
        </w:rPr>
      </w:pPr>
      <w:r w:rsidRPr="00644480">
        <w:rPr>
          <w:rStyle w:val="Strong"/>
          <w:b w:val="0"/>
          <w:bCs/>
          <w:sz w:val="22"/>
          <w:szCs w:val="22"/>
          <w:lang w:val="en-GB"/>
        </w:rPr>
        <w:t>Date:</w:t>
      </w:r>
      <w:r w:rsidRPr="00644480">
        <w:rPr>
          <w:rStyle w:val="Strong"/>
          <w:sz w:val="22"/>
          <w:szCs w:val="22"/>
          <w:u w:val="single"/>
          <w:lang w:val="en-GB"/>
        </w:rPr>
        <w:t xml:space="preserve"> </w:t>
      </w:r>
      <w:r w:rsidR="00035622" w:rsidRPr="00035622">
        <w:rPr>
          <w:rStyle w:val="Emphasis"/>
          <w:i w:val="0"/>
          <w:sz w:val="22"/>
          <w:szCs w:val="22"/>
          <w:u w:val="single"/>
          <w:lang w:val="en-GB"/>
        </w:rPr>
        <w:t>14/05</w:t>
      </w:r>
      <w:r w:rsidRPr="00035622">
        <w:rPr>
          <w:rStyle w:val="Emphasis"/>
          <w:i w:val="0"/>
          <w:sz w:val="22"/>
          <w:szCs w:val="22"/>
          <w:u w:val="single"/>
          <w:lang w:val="en-GB"/>
        </w:rPr>
        <w:t>//202</w:t>
      </w:r>
      <w:r w:rsidR="00FA2F47" w:rsidRPr="00035622">
        <w:rPr>
          <w:rStyle w:val="Emphasis"/>
          <w:i w:val="0"/>
          <w:sz w:val="22"/>
          <w:szCs w:val="22"/>
          <w:u w:val="single"/>
          <w:lang w:val="en-GB"/>
        </w:rPr>
        <w:t>4</w:t>
      </w:r>
      <w:r w:rsidRPr="00035622">
        <w:rPr>
          <w:rStyle w:val="Emphasis"/>
          <w:i w:val="0"/>
          <w:sz w:val="22"/>
          <w:szCs w:val="22"/>
          <w:u w:val="single"/>
          <w:lang w:val="en-GB"/>
        </w:rPr>
        <w:t xml:space="preserve"> </w:t>
      </w:r>
      <w:r w:rsidRPr="00035622">
        <w:rPr>
          <w:rStyle w:val="Strong"/>
          <w:sz w:val="22"/>
          <w:szCs w:val="22"/>
          <w:u w:val="single"/>
          <w:lang w:val="en-GB"/>
        </w:rPr>
        <w:br/>
      </w:r>
      <w:r w:rsidRPr="00035622">
        <w:rPr>
          <w:rStyle w:val="Strong"/>
          <w:b w:val="0"/>
          <w:bCs/>
          <w:sz w:val="22"/>
          <w:szCs w:val="22"/>
          <w:lang w:val="en-GB"/>
        </w:rPr>
        <w:t>Local time</w:t>
      </w:r>
      <w:r w:rsidRPr="00035622">
        <w:rPr>
          <w:rStyle w:val="Strong"/>
          <w:sz w:val="22"/>
          <w:szCs w:val="22"/>
          <w:u w:val="single"/>
          <w:lang w:val="en-GB"/>
        </w:rPr>
        <w:t xml:space="preserve">: </w:t>
      </w:r>
      <w:r w:rsidR="00BE2F05" w:rsidRPr="00035622">
        <w:rPr>
          <w:rStyle w:val="Emphasis"/>
          <w:i w:val="0"/>
          <w:sz w:val="22"/>
          <w:szCs w:val="22"/>
          <w:u w:val="single"/>
          <w:lang w:val="en-GB"/>
        </w:rPr>
        <w:t>14</w:t>
      </w:r>
      <w:r w:rsidRPr="00035622">
        <w:rPr>
          <w:rStyle w:val="Emphasis"/>
          <w:i w:val="0"/>
          <w:sz w:val="22"/>
          <w:szCs w:val="22"/>
          <w:u w:val="single"/>
          <w:lang w:val="en-GB"/>
        </w:rPr>
        <w:t>:</w:t>
      </w:r>
      <w:r w:rsidR="00BE2F05">
        <w:rPr>
          <w:rStyle w:val="Emphasis"/>
          <w:i w:val="0"/>
          <w:sz w:val="22"/>
          <w:szCs w:val="22"/>
          <w:u w:val="single"/>
          <w:lang w:val="en-GB"/>
        </w:rPr>
        <w:t xml:space="preserve">30 </w:t>
      </w:r>
      <w:r w:rsidRPr="00644480">
        <w:rPr>
          <w:rStyle w:val="Emphasis"/>
          <w:i w:val="0"/>
          <w:sz w:val="22"/>
          <w:szCs w:val="22"/>
          <w:u w:val="single"/>
          <w:lang w:val="en-GB"/>
        </w:rPr>
        <w:t>hrs</w:t>
      </w:r>
      <w:r w:rsidRPr="00644480">
        <w:rPr>
          <w:rStyle w:val="Emphasis"/>
          <w:i w:val="0"/>
          <w:sz w:val="22"/>
          <w:szCs w:val="22"/>
          <w:lang w:val="en-GB"/>
        </w:rPr>
        <w:t xml:space="preserve"> (Kosovo time zone)</w:t>
      </w:r>
      <w:r>
        <w:rPr>
          <w:rStyle w:val="Strong"/>
          <w:sz w:val="22"/>
          <w:szCs w:val="22"/>
          <w:u w:val="single"/>
          <w:lang w:val="en-GB"/>
        </w:rPr>
        <w:br/>
      </w:r>
      <w:r w:rsidRPr="00F82AA4">
        <w:rPr>
          <w:rStyle w:val="Strong"/>
          <w:b w:val="0"/>
          <w:sz w:val="22"/>
          <w:szCs w:val="22"/>
          <w:lang w:val="en-GB"/>
        </w:rPr>
        <w:t xml:space="preserve">Place: </w:t>
      </w:r>
      <w:r w:rsidRPr="00644480">
        <w:rPr>
          <w:sz w:val="22"/>
          <w:szCs w:val="22"/>
        </w:rPr>
        <w:t>EULEX Kosovo – Procurement Section</w:t>
      </w:r>
    </w:p>
    <w:p w14:paraId="3815ADD1" w14:textId="4E719794" w:rsidR="00687628" w:rsidRPr="00644480" w:rsidRDefault="00644480" w:rsidP="00687628">
      <w:pPr>
        <w:pStyle w:val="ListParagraph"/>
        <w:autoSpaceDE w:val="0"/>
        <w:autoSpaceDN w:val="0"/>
        <w:adjustRightInd w:val="0"/>
        <w:spacing w:before="0" w:after="0"/>
        <w:ind w:left="0"/>
        <w:rPr>
          <w:sz w:val="22"/>
          <w:szCs w:val="22"/>
          <w:lang w:val="de-DE"/>
        </w:rPr>
      </w:pPr>
      <w:proofErr w:type="spellStart"/>
      <w:r w:rsidRPr="00644480">
        <w:rPr>
          <w:sz w:val="22"/>
          <w:szCs w:val="22"/>
          <w:lang w:val="en-GB"/>
        </w:rPr>
        <w:t>Lidhja</w:t>
      </w:r>
      <w:proofErr w:type="spellEnd"/>
      <w:r w:rsidRPr="00644480">
        <w:rPr>
          <w:sz w:val="22"/>
          <w:szCs w:val="22"/>
          <w:lang w:val="en-GB"/>
        </w:rPr>
        <w:t xml:space="preserve"> e </w:t>
      </w:r>
      <w:proofErr w:type="spellStart"/>
      <w:r w:rsidRPr="00644480">
        <w:rPr>
          <w:sz w:val="22"/>
          <w:szCs w:val="22"/>
          <w:lang w:val="en-GB"/>
        </w:rPr>
        <w:t>Pejës</w:t>
      </w:r>
      <w:proofErr w:type="spellEnd"/>
      <w:r w:rsidRPr="00644480">
        <w:rPr>
          <w:sz w:val="22"/>
          <w:szCs w:val="22"/>
          <w:lang w:val="en-GB"/>
        </w:rPr>
        <w:t xml:space="preserve">, Industrial Zone, P.O. Box 268  </w:t>
      </w:r>
    </w:p>
    <w:p w14:paraId="32BA0285" w14:textId="77777777" w:rsidR="00687628" w:rsidRPr="00644480" w:rsidRDefault="00687628" w:rsidP="00687628">
      <w:pPr>
        <w:outlineLvl w:val="0"/>
        <w:rPr>
          <w:sz w:val="22"/>
          <w:szCs w:val="22"/>
          <w:lang w:val="es-ES_tradnl"/>
        </w:rPr>
      </w:pPr>
      <w:r w:rsidRPr="00644480">
        <w:rPr>
          <w:sz w:val="22"/>
          <w:szCs w:val="22"/>
          <w:lang w:val="es-ES_tradnl"/>
        </w:rPr>
        <w:t>10000 Pristina, Kosovo</w:t>
      </w:r>
    </w:p>
    <w:p w14:paraId="4B3F0DCB" w14:textId="284433D3" w:rsidR="00DE28AE" w:rsidRPr="00D225CC" w:rsidRDefault="00DE28AE" w:rsidP="00687628">
      <w:pPr>
        <w:outlineLvl w:val="0"/>
        <w:rPr>
          <w:lang w:val="en-GB"/>
        </w:rPr>
      </w:pPr>
    </w:p>
    <w:sectPr w:rsidR="00DE28AE" w:rsidRPr="00D225CC" w:rsidSect="00BC34CF">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 w:id="1">
    <w:p w14:paraId="7C4E44E2" w14:textId="3455A607" w:rsidR="000617C9" w:rsidRPr="000617C9" w:rsidRDefault="000617C9" w:rsidP="000617C9">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909030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49359474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8652434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21242252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18412476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57497855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43733349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5679107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37797169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85992562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97406583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64882415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778862840">
    <w:abstractNumId w:val="17"/>
  </w:num>
  <w:num w:numId="14" w16cid:durableId="17723692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361934497">
    <w:abstractNumId w:val="13"/>
  </w:num>
  <w:num w:numId="16" w16cid:durableId="1882550536">
    <w:abstractNumId w:val="15"/>
  </w:num>
  <w:num w:numId="17" w16cid:durableId="134950245">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176697540">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1131904372">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1174876652">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561406217">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984703575">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1871995146">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274290917">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2141724867">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220286227">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469126788">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738481919">
    <w:abstractNumId w:val="27"/>
  </w:num>
  <w:num w:numId="29" w16cid:durableId="1029602025">
    <w:abstractNumId w:val="27"/>
  </w:num>
  <w:num w:numId="30" w16cid:durableId="1531605232">
    <w:abstractNumId w:val="27"/>
  </w:num>
  <w:num w:numId="31" w16cid:durableId="1316954688">
    <w:abstractNumId w:val="27"/>
  </w:num>
  <w:num w:numId="32" w16cid:durableId="293602065">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344600090">
    <w:abstractNumId w:val="35"/>
  </w:num>
  <w:num w:numId="34" w16cid:durableId="1993950535">
    <w:abstractNumId w:val="41"/>
  </w:num>
  <w:num w:numId="35" w16cid:durableId="895820784">
    <w:abstractNumId w:val="34"/>
  </w:num>
  <w:num w:numId="36" w16cid:durableId="310063763">
    <w:abstractNumId w:val="33"/>
  </w:num>
  <w:num w:numId="37" w16cid:durableId="100103302">
    <w:abstractNumId w:val="36"/>
  </w:num>
  <w:num w:numId="38" w16cid:durableId="1052970865">
    <w:abstractNumId w:val="39"/>
  </w:num>
  <w:num w:numId="39" w16cid:durableId="138112193">
    <w:abstractNumId w:val="44"/>
  </w:num>
  <w:num w:numId="40" w16cid:durableId="369959351">
    <w:abstractNumId w:val="45"/>
  </w:num>
  <w:num w:numId="41" w16cid:durableId="1076822369">
    <w:abstractNumId w:val="40"/>
  </w:num>
  <w:num w:numId="42" w16cid:durableId="1977100368">
    <w:abstractNumId w:val="43"/>
  </w:num>
  <w:num w:numId="43" w16cid:durableId="1817721241">
    <w:abstractNumId w:val="37"/>
  </w:num>
  <w:num w:numId="44" w16cid:durableId="1424909694">
    <w:abstractNumId w:val="38"/>
  </w:num>
  <w:num w:numId="45" w16cid:durableId="10240917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622"/>
    <w:rsid w:val="00035D4D"/>
    <w:rsid w:val="00045619"/>
    <w:rsid w:val="00045773"/>
    <w:rsid w:val="000503A2"/>
    <w:rsid w:val="000522D4"/>
    <w:rsid w:val="000617C9"/>
    <w:rsid w:val="0006203C"/>
    <w:rsid w:val="00063589"/>
    <w:rsid w:val="00063FB5"/>
    <w:rsid w:val="000677C2"/>
    <w:rsid w:val="00075FAC"/>
    <w:rsid w:val="00076F64"/>
    <w:rsid w:val="0008316A"/>
    <w:rsid w:val="00087A72"/>
    <w:rsid w:val="00095030"/>
    <w:rsid w:val="000950D5"/>
    <w:rsid w:val="000A3758"/>
    <w:rsid w:val="000C1522"/>
    <w:rsid w:val="000C5B55"/>
    <w:rsid w:val="000E5BBC"/>
    <w:rsid w:val="000E767D"/>
    <w:rsid w:val="000F0F6C"/>
    <w:rsid w:val="000F4D57"/>
    <w:rsid w:val="000F5DEF"/>
    <w:rsid w:val="0010162C"/>
    <w:rsid w:val="00105302"/>
    <w:rsid w:val="00110A94"/>
    <w:rsid w:val="00112210"/>
    <w:rsid w:val="0011245D"/>
    <w:rsid w:val="00115D2F"/>
    <w:rsid w:val="00120298"/>
    <w:rsid w:val="00122B86"/>
    <w:rsid w:val="00126E99"/>
    <w:rsid w:val="00135FF0"/>
    <w:rsid w:val="0014405E"/>
    <w:rsid w:val="00144547"/>
    <w:rsid w:val="0015107D"/>
    <w:rsid w:val="00155BF4"/>
    <w:rsid w:val="00162F40"/>
    <w:rsid w:val="001661F7"/>
    <w:rsid w:val="001707D5"/>
    <w:rsid w:val="0017184C"/>
    <w:rsid w:val="00180D47"/>
    <w:rsid w:val="00181270"/>
    <w:rsid w:val="00186695"/>
    <w:rsid w:val="00192D12"/>
    <w:rsid w:val="001951FE"/>
    <w:rsid w:val="00196F2A"/>
    <w:rsid w:val="001A0C86"/>
    <w:rsid w:val="001A136D"/>
    <w:rsid w:val="001A1BE1"/>
    <w:rsid w:val="001B027C"/>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28D6"/>
    <w:rsid w:val="00226829"/>
    <w:rsid w:val="00231106"/>
    <w:rsid w:val="00233B9D"/>
    <w:rsid w:val="00233DDA"/>
    <w:rsid w:val="00250A28"/>
    <w:rsid w:val="00266EB9"/>
    <w:rsid w:val="00282863"/>
    <w:rsid w:val="00290440"/>
    <w:rsid w:val="00290EBC"/>
    <w:rsid w:val="002976DE"/>
    <w:rsid w:val="00297B55"/>
    <w:rsid w:val="002A254C"/>
    <w:rsid w:val="002B74FD"/>
    <w:rsid w:val="002C26E6"/>
    <w:rsid w:val="002C2D95"/>
    <w:rsid w:val="002D2274"/>
    <w:rsid w:val="002D266E"/>
    <w:rsid w:val="002D4121"/>
    <w:rsid w:val="002D7249"/>
    <w:rsid w:val="002E1B83"/>
    <w:rsid w:val="002E7D33"/>
    <w:rsid w:val="002F47F3"/>
    <w:rsid w:val="002F58EB"/>
    <w:rsid w:val="0030090E"/>
    <w:rsid w:val="0030318D"/>
    <w:rsid w:val="003045C3"/>
    <w:rsid w:val="00306BCE"/>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A079B"/>
    <w:rsid w:val="004A5D54"/>
    <w:rsid w:val="004B0F8B"/>
    <w:rsid w:val="004B5DCF"/>
    <w:rsid w:val="004C0DB3"/>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C632E"/>
    <w:rsid w:val="005D0AD5"/>
    <w:rsid w:val="005D3D85"/>
    <w:rsid w:val="005D720E"/>
    <w:rsid w:val="005E3AE0"/>
    <w:rsid w:val="005E3EEE"/>
    <w:rsid w:val="005E53BD"/>
    <w:rsid w:val="005F776D"/>
    <w:rsid w:val="00603F87"/>
    <w:rsid w:val="0061336A"/>
    <w:rsid w:val="00626BBA"/>
    <w:rsid w:val="00627FB4"/>
    <w:rsid w:val="00636019"/>
    <w:rsid w:val="00637237"/>
    <w:rsid w:val="0064066F"/>
    <w:rsid w:val="0064390B"/>
    <w:rsid w:val="00644480"/>
    <w:rsid w:val="00651CAF"/>
    <w:rsid w:val="00652EFC"/>
    <w:rsid w:val="006552B5"/>
    <w:rsid w:val="00663C6D"/>
    <w:rsid w:val="006738B9"/>
    <w:rsid w:val="00674F9C"/>
    <w:rsid w:val="0067554A"/>
    <w:rsid w:val="00675EEE"/>
    <w:rsid w:val="006770CA"/>
    <w:rsid w:val="00686C3A"/>
    <w:rsid w:val="00687628"/>
    <w:rsid w:val="0068769C"/>
    <w:rsid w:val="00697F82"/>
    <w:rsid w:val="006A0175"/>
    <w:rsid w:val="006A0598"/>
    <w:rsid w:val="006A2F21"/>
    <w:rsid w:val="006A3716"/>
    <w:rsid w:val="006A66DA"/>
    <w:rsid w:val="006A7394"/>
    <w:rsid w:val="006B2F6C"/>
    <w:rsid w:val="006B3D18"/>
    <w:rsid w:val="006B59B9"/>
    <w:rsid w:val="006C0693"/>
    <w:rsid w:val="006C0EB6"/>
    <w:rsid w:val="006C0F37"/>
    <w:rsid w:val="006D0A6B"/>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45DBA"/>
    <w:rsid w:val="00746DDB"/>
    <w:rsid w:val="007471C5"/>
    <w:rsid w:val="00750592"/>
    <w:rsid w:val="00750FF8"/>
    <w:rsid w:val="00752A71"/>
    <w:rsid w:val="00753FC2"/>
    <w:rsid w:val="00756C38"/>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4ED2"/>
    <w:rsid w:val="008F66E7"/>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74BD"/>
    <w:rsid w:val="009900DD"/>
    <w:rsid w:val="00990B40"/>
    <w:rsid w:val="00991002"/>
    <w:rsid w:val="009B06B5"/>
    <w:rsid w:val="009B0DBF"/>
    <w:rsid w:val="009B5E33"/>
    <w:rsid w:val="009B6F36"/>
    <w:rsid w:val="009C0E9E"/>
    <w:rsid w:val="009C4007"/>
    <w:rsid w:val="009C7312"/>
    <w:rsid w:val="009D6350"/>
    <w:rsid w:val="009D6916"/>
    <w:rsid w:val="009E4662"/>
    <w:rsid w:val="009E5005"/>
    <w:rsid w:val="009F128B"/>
    <w:rsid w:val="00A03055"/>
    <w:rsid w:val="00A06D42"/>
    <w:rsid w:val="00A11931"/>
    <w:rsid w:val="00A171EA"/>
    <w:rsid w:val="00A22177"/>
    <w:rsid w:val="00A2314D"/>
    <w:rsid w:val="00A2523F"/>
    <w:rsid w:val="00A433A6"/>
    <w:rsid w:val="00A43E7A"/>
    <w:rsid w:val="00A46ED3"/>
    <w:rsid w:val="00A525AF"/>
    <w:rsid w:val="00A54502"/>
    <w:rsid w:val="00A70611"/>
    <w:rsid w:val="00A7101F"/>
    <w:rsid w:val="00A73E50"/>
    <w:rsid w:val="00A7648B"/>
    <w:rsid w:val="00A779FE"/>
    <w:rsid w:val="00A77B07"/>
    <w:rsid w:val="00A84E04"/>
    <w:rsid w:val="00A853CC"/>
    <w:rsid w:val="00A91076"/>
    <w:rsid w:val="00A96048"/>
    <w:rsid w:val="00A97B08"/>
    <w:rsid w:val="00AA22C6"/>
    <w:rsid w:val="00AA3505"/>
    <w:rsid w:val="00AA5256"/>
    <w:rsid w:val="00AA7762"/>
    <w:rsid w:val="00AB00B8"/>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7BB3"/>
    <w:rsid w:val="00B062C7"/>
    <w:rsid w:val="00B063F9"/>
    <w:rsid w:val="00B112A1"/>
    <w:rsid w:val="00B12FD0"/>
    <w:rsid w:val="00B14398"/>
    <w:rsid w:val="00B16AE7"/>
    <w:rsid w:val="00B17284"/>
    <w:rsid w:val="00B22E7F"/>
    <w:rsid w:val="00B304D7"/>
    <w:rsid w:val="00B30DFF"/>
    <w:rsid w:val="00B46840"/>
    <w:rsid w:val="00B513FE"/>
    <w:rsid w:val="00B5152E"/>
    <w:rsid w:val="00B5587D"/>
    <w:rsid w:val="00B56D0A"/>
    <w:rsid w:val="00B60EC5"/>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2F05"/>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4E7C"/>
    <w:rsid w:val="00C579ED"/>
    <w:rsid w:val="00C70AAE"/>
    <w:rsid w:val="00C712DE"/>
    <w:rsid w:val="00C8296E"/>
    <w:rsid w:val="00C83C65"/>
    <w:rsid w:val="00C840D0"/>
    <w:rsid w:val="00C90172"/>
    <w:rsid w:val="00C91095"/>
    <w:rsid w:val="00C9751F"/>
    <w:rsid w:val="00C9783F"/>
    <w:rsid w:val="00CA3B1B"/>
    <w:rsid w:val="00CA58B5"/>
    <w:rsid w:val="00CB244C"/>
    <w:rsid w:val="00CB759D"/>
    <w:rsid w:val="00CC0A41"/>
    <w:rsid w:val="00CC1F21"/>
    <w:rsid w:val="00CC3BA0"/>
    <w:rsid w:val="00CC6A3D"/>
    <w:rsid w:val="00CC6D8C"/>
    <w:rsid w:val="00CC765C"/>
    <w:rsid w:val="00CD0070"/>
    <w:rsid w:val="00CD15CC"/>
    <w:rsid w:val="00CD38DB"/>
    <w:rsid w:val="00CD75F8"/>
    <w:rsid w:val="00CE1FD0"/>
    <w:rsid w:val="00CE7536"/>
    <w:rsid w:val="00CF0E53"/>
    <w:rsid w:val="00CF366A"/>
    <w:rsid w:val="00D00216"/>
    <w:rsid w:val="00D00DBC"/>
    <w:rsid w:val="00D011CD"/>
    <w:rsid w:val="00D0254B"/>
    <w:rsid w:val="00D225CC"/>
    <w:rsid w:val="00D22682"/>
    <w:rsid w:val="00D240C3"/>
    <w:rsid w:val="00D25196"/>
    <w:rsid w:val="00D339BD"/>
    <w:rsid w:val="00D36765"/>
    <w:rsid w:val="00D40309"/>
    <w:rsid w:val="00D44E75"/>
    <w:rsid w:val="00D46724"/>
    <w:rsid w:val="00D47080"/>
    <w:rsid w:val="00D517A4"/>
    <w:rsid w:val="00D53C59"/>
    <w:rsid w:val="00D549F4"/>
    <w:rsid w:val="00D56F6C"/>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DF4B7B"/>
    <w:rsid w:val="00E1782A"/>
    <w:rsid w:val="00E25542"/>
    <w:rsid w:val="00E2770C"/>
    <w:rsid w:val="00E30BB5"/>
    <w:rsid w:val="00E31447"/>
    <w:rsid w:val="00E35FC7"/>
    <w:rsid w:val="00E422A2"/>
    <w:rsid w:val="00E51C35"/>
    <w:rsid w:val="00E734C8"/>
    <w:rsid w:val="00E813B7"/>
    <w:rsid w:val="00E81F05"/>
    <w:rsid w:val="00E82874"/>
    <w:rsid w:val="00E9047D"/>
    <w:rsid w:val="00E95E44"/>
    <w:rsid w:val="00EA399C"/>
    <w:rsid w:val="00EB32FA"/>
    <w:rsid w:val="00EB4C19"/>
    <w:rsid w:val="00EB658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2F47"/>
    <w:rsid w:val="00FA43CC"/>
    <w:rsid w:val="00FB17AC"/>
    <w:rsid w:val="00FB7051"/>
    <w:rsid w:val="00FC08E1"/>
    <w:rsid w:val="00FC622D"/>
    <w:rsid w:val="00FE62A5"/>
    <w:rsid w:val="00FE6A9C"/>
    <w:rsid w:val="00FE6CB8"/>
    <w:rsid w:val="00FF19C5"/>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 w:type="paragraph" w:styleId="ListParagraph">
    <w:name w:val="List Paragraph"/>
    <w:basedOn w:val="Normal"/>
    <w:uiPriority w:val="34"/>
    <w:qFormat/>
    <w:rsid w:val="0068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53325-4279-4A03-A01A-96E7BA315DCB}">
  <ds:schemaRefs>
    <ds:schemaRef ds:uri="http://schemas.microsoft.com/sharepoint/v3/contenttype/forms"/>
  </ds:schemaRefs>
</ds:datastoreItem>
</file>

<file path=customXml/itemProps2.xml><?xml version="1.0" encoding="utf-8"?>
<ds:datastoreItem xmlns:ds="http://schemas.openxmlformats.org/officeDocument/2006/customXml" ds:itemID="{4A33EC8F-5ECA-4B65-9A70-2A6001108AE0}">
  <ds:schemaRefs>
    <ds:schemaRef ds:uri="http://schemas.openxmlformats.org/officeDocument/2006/bibliography"/>
  </ds:schemaRefs>
</ds:datastoreItem>
</file>

<file path=customXml/itemProps3.xml><?xml version="1.0" encoding="utf-8"?>
<ds:datastoreItem xmlns:ds="http://schemas.openxmlformats.org/officeDocument/2006/customXml" ds:itemID="{DC28DE78-9FE7-4C91-A060-088C43D10645}">
  <ds:schemaRefs>
    <ds:schemaRef ds:uri="b21a4a1d-4eb8-49d3-b465-be101281b0f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8A4B85E-19DA-40BE-B4E2-785A2C69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351</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19</cp:revision>
  <cp:lastPrinted>2014-01-30T15:32:00Z</cp:lastPrinted>
  <dcterms:created xsi:type="dcterms:W3CDTF">2021-12-28T18:05:00Z</dcterms:created>
  <dcterms:modified xsi:type="dcterms:W3CDTF">2024-03-07T08:27:00Z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