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7E4" w:rsidRDefault="009A17E4" w:rsidP="009A17E4">
      <w:pPr>
        <w:jc w:val="center"/>
        <w:rPr>
          <w:b/>
          <w:bCs/>
          <w:caps/>
          <w:color w:val="000080"/>
          <w:sz w:val="22"/>
          <w:szCs w:val="22"/>
          <w:lang w:val="en-GB"/>
        </w:rPr>
      </w:pPr>
      <w:r w:rsidRPr="000F7012">
        <w:rPr>
          <w:b/>
          <w:bCs/>
          <w:caps/>
          <w:noProof/>
          <w:color w:val="000080"/>
          <w:sz w:val="22"/>
          <w:szCs w:val="22"/>
          <w:lang w:eastAsia="en-US"/>
        </w:rPr>
        <w:drawing>
          <wp:anchor distT="0" distB="0" distL="114300" distR="114300" simplePos="0" relativeHeight="251659264" behindDoc="1" locked="0" layoutInCell="1" allowOverlap="1">
            <wp:simplePos x="0" y="0"/>
            <wp:positionH relativeFrom="column">
              <wp:posOffset>2743200</wp:posOffset>
            </wp:positionH>
            <wp:positionV relativeFrom="paragraph">
              <wp:posOffset>-571500</wp:posOffset>
            </wp:positionV>
            <wp:extent cx="680085" cy="565785"/>
            <wp:effectExtent l="0" t="0" r="5715" b="5715"/>
            <wp:wrapNone/>
            <wp:docPr id="1" name="Picture 1" descr="eulex_logo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lex_logo500x5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0085" cy="565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17E4" w:rsidRPr="000F7012" w:rsidRDefault="009A17E4" w:rsidP="009A17E4">
      <w:pPr>
        <w:jc w:val="center"/>
        <w:rPr>
          <w:b/>
          <w:bCs/>
          <w:caps/>
          <w:color w:val="000080"/>
          <w:sz w:val="22"/>
          <w:szCs w:val="22"/>
          <w:lang w:val="en-GB"/>
        </w:rPr>
      </w:pPr>
    </w:p>
    <w:p w:rsidR="009A17E4" w:rsidRPr="000F7012" w:rsidRDefault="009A17E4" w:rsidP="009A17E4">
      <w:pPr>
        <w:pBdr>
          <w:top w:val="single" w:sz="4" w:space="1" w:color="auto"/>
        </w:pBdr>
        <w:jc w:val="center"/>
        <w:rPr>
          <w:b/>
          <w:bCs/>
          <w:caps/>
          <w:color w:val="000080"/>
          <w:sz w:val="12"/>
          <w:szCs w:val="12"/>
          <w:lang w:val="en-GB"/>
        </w:rPr>
      </w:pPr>
    </w:p>
    <w:p w:rsidR="009A17E4" w:rsidRPr="003903AD" w:rsidRDefault="009A17E4" w:rsidP="009A17E4">
      <w:pPr>
        <w:pBdr>
          <w:top w:val="single" w:sz="4" w:space="1" w:color="auto"/>
        </w:pBdr>
        <w:jc w:val="center"/>
        <w:rPr>
          <w:b/>
          <w:bCs/>
          <w:caps/>
          <w:sz w:val="22"/>
          <w:szCs w:val="22"/>
          <w:lang w:val="en-GB"/>
        </w:rPr>
      </w:pPr>
      <w:r w:rsidRPr="003903AD">
        <w:rPr>
          <w:b/>
          <w:bCs/>
          <w:caps/>
          <w:sz w:val="22"/>
          <w:szCs w:val="22"/>
          <w:lang w:val="en-GB"/>
        </w:rPr>
        <w:t xml:space="preserve">European Union Rule of Law </w:t>
      </w:r>
      <w:smartTag w:uri="urn:schemas-microsoft-com:office:smarttags" w:element="PersonName">
        <w:smartTag w:uri="urn:schemas-microsoft-com:office:smarttags" w:element="City">
          <w:r w:rsidRPr="003903AD">
            <w:rPr>
              <w:b/>
              <w:bCs/>
              <w:caps/>
              <w:sz w:val="22"/>
              <w:szCs w:val="22"/>
              <w:lang w:val="en-GB"/>
            </w:rPr>
            <w:t>Mission</w:t>
          </w:r>
        </w:smartTag>
      </w:smartTag>
      <w:r w:rsidRPr="003903AD">
        <w:rPr>
          <w:b/>
          <w:bCs/>
          <w:caps/>
          <w:sz w:val="22"/>
          <w:szCs w:val="22"/>
          <w:lang w:val="en-GB"/>
        </w:rPr>
        <w:t xml:space="preserve"> in Kosovo </w:t>
      </w:r>
    </w:p>
    <w:p w:rsidR="009A17E4" w:rsidRPr="003903AD" w:rsidRDefault="009A17E4" w:rsidP="009A17E4">
      <w:pPr>
        <w:pBdr>
          <w:top w:val="single" w:sz="4" w:space="1" w:color="auto"/>
        </w:pBdr>
        <w:jc w:val="center"/>
        <w:rPr>
          <w:b/>
          <w:bCs/>
          <w:caps/>
          <w:sz w:val="22"/>
          <w:szCs w:val="22"/>
          <w:lang w:val="en-GB"/>
        </w:rPr>
      </w:pPr>
      <w:r w:rsidRPr="003903AD">
        <w:rPr>
          <w:b/>
          <w:bCs/>
          <w:caps/>
          <w:sz w:val="22"/>
          <w:szCs w:val="22"/>
          <w:lang w:val="en-GB"/>
        </w:rPr>
        <w:t>EULEX Kosovo</w:t>
      </w:r>
    </w:p>
    <w:p w:rsidR="009A17E4" w:rsidRPr="003903AD" w:rsidRDefault="009A17E4" w:rsidP="009A17E4">
      <w:pPr>
        <w:jc w:val="center"/>
        <w:rPr>
          <w:iCs/>
          <w:lang w:val="pt-BR"/>
        </w:rPr>
      </w:pPr>
      <w:r w:rsidRPr="003903AD">
        <w:rPr>
          <w:iCs/>
          <w:lang w:val="pt-BR"/>
        </w:rPr>
        <w:t xml:space="preserve">Ndertesa Farmed </w:t>
      </w:r>
    </w:p>
    <w:p w:rsidR="009A17E4" w:rsidRPr="003903AD" w:rsidRDefault="009A17E4" w:rsidP="009A17E4">
      <w:pPr>
        <w:jc w:val="center"/>
        <w:rPr>
          <w:iCs/>
          <w:lang w:val="pt-BR"/>
        </w:rPr>
      </w:pPr>
      <w:r w:rsidRPr="003903AD">
        <w:rPr>
          <w:iCs/>
          <w:lang w:val="pt-BR"/>
        </w:rPr>
        <w:t>“Muharrem Fejza” p.n.</w:t>
      </w:r>
    </w:p>
    <w:p w:rsidR="009A17E4" w:rsidRPr="003903AD" w:rsidRDefault="009A17E4" w:rsidP="009A17E4">
      <w:pPr>
        <w:jc w:val="center"/>
        <w:rPr>
          <w:iCs/>
          <w:lang w:val="pt-BR"/>
        </w:rPr>
      </w:pPr>
      <w:r w:rsidRPr="003903AD">
        <w:rPr>
          <w:iCs/>
          <w:lang w:val="pt-BR"/>
        </w:rPr>
        <w:t>Lagja e Spitalit</w:t>
      </w:r>
    </w:p>
    <w:p w:rsidR="009A17E4" w:rsidRPr="003903AD" w:rsidRDefault="009A17E4" w:rsidP="009A17E4">
      <w:pPr>
        <w:jc w:val="center"/>
        <w:rPr>
          <w:iCs/>
          <w:lang w:val="pt-BR"/>
        </w:rPr>
      </w:pPr>
      <w:r w:rsidRPr="003903AD">
        <w:rPr>
          <w:iCs/>
          <w:lang w:val="pt-BR"/>
        </w:rPr>
        <w:t>10000 Pristina, Kosovo</w:t>
      </w:r>
    </w:p>
    <w:p w:rsidR="009A17E4" w:rsidRPr="003903AD" w:rsidRDefault="00E66DF0" w:rsidP="009A17E4">
      <w:pPr>
        <w:jc w:val="center"/>
        <w:rPr>
          <w:iCs/>
          <w:lang w:val="pt-BR"/>
        </w:rPr>
      </w:pPr>
      <w:hyperlink r:id="rId8" w:history="1">
        <w:r w:rsidR="009A17E4" w:rsidRPr="003903AD">
          <w:rPr>
            <w:rStyle w:val="Hyperlink"/>
            <w:iCs/>
            <w:lang w:val="pt-BR"/>
          </w:rPr>
          <w:t>www.eulex-kosovo.eu</w:t>
        </w:r>
      </w:hyperlink>
    </w:p>
    <w:p w:rsidR="009A17E4" w:rsidRPr="003903AD" w:rsidRDefault="009A17E4" w:rsidP="009A17E4">
      <w:pPr>
        <w:jc w:val="center"/>
        <w:rPr>
          <w:iCs/>
          <w:lang w:val="en-GB"/>
        </w:rPr>
      </w:pPr>
    </w:p>
    <w:p w:rsidR="009A17E4" w:rsidRPr="003903AD" w:rsidRDefault="009A17E4" w:rsidP="009A17E4">
      <w:pPr>
        <w:rPr>
          <w:b/>
          <w:sz w:val="22"/>
          <w:szCs w:val="22"/>
          <w:lang w:val="en-GB"/>
        </w:rPr>
      </w:pPr>
    </w:p>
    <w:p w:rsidR="009A17E4" w:rsidRPr="003903AD" w:rsidRDefault="009A17E4" w:rsidP="009A17E4">
      <w:pPr>
        <w:jc w:val="center"/>
        <w:outlineLvl w:val="0"/>
        <w:rPr>
          <w:b/>
          <w:sz w:val="28"/>
          <w:szCs w:val="28"/>
          <w:u w:val="single"/>
          <w:lang w:val="en-GB"/>
        </w:rPr>
      </w:pPr>
      <w:r w:rsidRPr="003903AD">
        <w:rPr>
          <w:b/>
          <w:sz w:val="28"/>
          <w:szCs w:val="28"/>
          <w:u w:val="single"/>
          <w:lang w:val="en-GB"/>
        </w:rPr>
        <w:t>C</w:t>
      </w:r>
      <w:r>
        <w:rPr>
          <w:b/>
          <w:sz w:val="28"/>
          <w:szCs w:val="28"/>
          <w:u w:val="single"/>
          <w:lang w:val="en-GB"/>
        </w:rPr>
        <w:t xml:space="preserve">ORRIGENDUM NUMBER </w:t>
      </w:r>
      <w:r w:rsidR="009A5938">
        <w:rPr>
          <w:b/>
          <w:sz w:val="28"/>
          <w:szCs w:val="28"/>
          <w:u w:val="single"/>
          <w:lang w:val="en-GB"/>
        </w:rPr>
        <w:t>1</w:t>
      </w:r>
    </w:p>
    <w:p w:rsidR="009A17E4" w:rsidRPr="003903AD" w:rsidRDefault="009A17E4" w:rsidP="009A17E4">
      <w:pPr>
        <w:jc w:val="center"/>
        <w:outlineLvl w:val="0"/>
        <w:rPr>
          <w:b/>
          <w:sz w:val="28"/>
          <w:szCs w:val="28"/>
          <w:u w:val="single"/>
          <w:lang w:val="en-GB"/>
        </w:rPr>
      </w:pPr>
      <w:r w:rsidRPr="003903AD">
        <w:rPr>
          <w:b/>
          <w:sz w:val="28"/>
          <w:szCs w:val="28"/>
          <w:u w:val="single"/>
          <w:lang w:val="en-GB"/>
        </w:rPr>
        <w:t xml:space="preserve">TO THE </w:t>
      </w:r>
      <w:r w:rsidR="009A5938">
        <w:rPr>
          <w:b/>
          <w:sz w:val="28"/>
          <w:szCs w:val="28"/>
          <w:u w:val="single"/>
          <w:lang w:val="en-GB"/>
        </w:rPr>
        <w:t>CONTRACT NOTICE</w:t>
      </w:r>
    </w:p>
    <w:p w:rsidR="009A17E4" w:rsidRPr="00310D6A" w:rsidRDefault="009A17E4" w:rsidP="009A17E4">
      <w:pPr>
        <w:jc w:val="center"/>
        <w:outlineLvl w:val="0"/>
        <w:rPr>
          <w:b/>
          <w:sz w:val="28"/>
          <w:szCs w:val="28"/>
          <w:lang w:val="en-GB"/>
        </w:rPr>
      </w:pPr>
    </w:p>
    <w:p w:rsidR="009A5938" w:rsidRDefault="009A17E4" w:rsidP="009A5938">
      <w:pPr>
        <w:spacing w:before="120"/>
        <w:ind w:left="426" w:hanging="66"/>
        <w:outlineLvl w:val="0"/>
        <w:rPr>
          <w:rStyle w:val="Strong"/>
          <w:b w:val="0"/>
          <w:sz w:val="22"/>
          <w:szCs w:val="22"/>
        </w:rPr>
      </w:pPr>
      <w:r w:rsidRPr="003903AD">
        <w:rPr>
          <w:b/>
          <w:sz w:val="28"/>
          <w:szCs w:val="28"/>
          <w:lang w:val="en-GB"/>
        </w:rPr>
        <w:t xml:space="preserve">PUBLICATION </w:t>
      </w:r>
      <w:r w:rsidRPr="00E66DF0">
        <w:rPr>
          <w:b/>
          <w:sz w:val="28"/>
          <w:szCs w:val="28"/>
          <w:lang w:val="en-GB"/>
        </w:rPr>
        <w:t>REFEREN</w:t>
      </w:r>
      <w:r w:rsidRPr="00E66DF0">
        <w:rPr>
          <w:b/>
          <w:bCs/>
          <w:sz w:val="28"/>
          <w:szCs w:val="28"/>
          <w:lang w:val="en-GB"/>
        </w:rPr>
        <w:t>CE:</w:t>
      </w:r>
      <w:r w:rsidRPr="009A5938">
        <w:rPr>
          <w:rStyle w:val="Strong"/>
          <w:b w:val="0"/>
        </w:rPr>
        <w:t xml:space="preserve"> </w:t>
      </w:r>
      <w:proofErr w:type="spellStart"/>
      <w:r w:rsidR="009A5938" w:rsidRPr="009A5938">
        <w:rPr>
          <w:rStyle w:val="Strong"/>
          <w:sz w:val="28"/>
          <w:szCs w:val="28"/>
        </w:rPr>
        <w:t>EuropeAid</w:t>
      </w:r>
      <w:proofErr w:type="spellEnd"/>
      <w:r w:rsidR="009A5938" w:rsidRPr="009A5938">
        <w:rPr>
          <w:rStyle w:val="Strong"/>
          <w:sz w:val="28"/>
          <w:szCs w:val="28"/>
        </w:rPr>
        <w:t>/140811/IH/SER/XK (PROC/949/20)</w:t>
      </w:r>
    </w:p>
    <w:p w:rsidR="009A17E4" w:rsidRPr="00E20CBA" w:rsidRDefault="009A5938" w:rsidP="009A17E4">
      <w:pPr>
        <w:jc w:val="center"/>
        <w:outlineLvl w:val="0"/>
        <w:rPr>
          <w:b/>
          <w:sz w:val="28"/>
          <w:szCs w:val="28"/>
          <w:lang w:val="en-GB"/>
        </w:rPr>
      </w:pPr>
      <w:r w:rsidRPr="00B63C4E">
        <w:rPr>
          <w:rStyle w:val="Strong"/>
          <w:sz w:val="28"/>
          <w:szCs w:val="28"/>
        </w:rPr>
        <w:t>Security Guarding Services No.</w:t>
      </w:r>
      <w:r>
        <w:rPr>
          <w:rStyle w:val="Strong"/>
          <w:sz w:val="28"/>
          <w:szCs w:val="28"/>
        </w:rPr>
        <w:t xml:space="preserve"> 7</w:t>
      </w:r>
    </w:p>
    <w:p w:rsidR="009A17E4" w:rsidRPr="0024632B" w:rsidRDefault="009A17E4" w:rsidP="009A17E4">
      <w:pPr>
        <w:jc w:val="center"/>
        <w:outlineLvl w:val="0"/>
        <w:rPr>
          <w:b/>
          <w:sz w:val="28"/>
          <w:szCs w:val="28"/>
          <w:lang w:val="en-GB"/>
        </w:rPr>
      </w:pPr>
    </w:p>
    <w:p w:rsidR="009A17E4" w:rsidRPr="009A5938" w:rsidRDefault="009A17E4" w:rsidP="009A5938">
      <w:pPr>
        <w:jc w:val="center"/>
        <w:rPr>
          <w:b/>
          <w:sz w:val="28"/>
          <w:szCs w:val="28"/>
          <w:u w:val="single"/>
        </w:rPr>
      </w:pPr>
      <w:r w:rsidRPr="0024632B">
        <w:rPr>
          <w:b/>
          <w:sz w:val="28"/>
          <w:szCs w:val="28"/>
          <w:u w:val="single"/>
        </w:rPr>
        <w:t xml:space="preserve">The following corrections are made to the </w:t>
      </w:r>
      <w:bookmarkStart w:id="0" w:name="_Toc232583331"/>
      <w:r w:rsidR="009A5938">
        <w:rPr>
          <w:b/>
          <w:sz w:val="28"/>
          <w:szCs w:val="28"/>
          <w:u w:val="single"/>
        </w:rPr>
        <w:t>Contract Notice</w:t>
      </w:r>
      <w:bookmarkEnd w:id="0"/>
    </w:p>
    <w:p w:rsidR="009A17E4" w:rsidRPr="002049E2" w:rsidRDefault="009A17E4" w:rsidP="009A17E4">
      <w:pPr>
        <w:pStyle w:val="Heading1"/>
        <w:numPr>
          <w:ilvl w:val="0"/>
          <w:numId w:val="0"/>
        </w:numPr>
        <w:ind w:left="567" w:hanging="567"/>
        <w:rPr>
          <w:rStyle w:val="Strong"/>
          <w:rFonts w:ascii="Times New Roman" w:hAnsi="Times New Roman" w:cs="Times New Roman"/>
          <w:color w:val="0070C0"/>
          <w:sz w:val="24"/>
          <w:szCs w:val="24"/>
          <w:u w:val="single"/>
          <w:lang w:val="en-GB"/>
        </w:rPr>
      </w:pPr>
      <w:r w:rsidRPr="002049E2">
        <w:rPr>
          <w:rStyle w:val="Strong"/>
          <w:rFonts w:ascii="Times New Roman" w:hAnsi="Times New Roman" w:cs="Times New Roman"/>
          <w:b/>
          <w:color w:val="0070C0"/>
          <w:sz w:val="24"/>
          <w:szCs w:val="24"/>
          <w:u w:val="single"/>
          <w:lang w:val="en-GB"/>
        </w:rPr>
        <w:t>THE FORMER TEXT:</w:t>
      </w:r>
    </w:p>
    <w:p w:rsidR="009A5938" w:rsidRPr="002049E2" w:rsidRDefault="009A5938" w:rsidP="009A5938">
      <w:pPr>
        <w:ind w:left="709" w:hanging="349"/>
        <w:outlineLvl w:val="0"/>
        <w:rPr>
          <w:sz w:val="24"/>
          <w:szCs w:val="24"/>
          <w:lang w:val="en-GB"/>
        </w:rPr>
      </w:pPr>
      <w:r w:rsidRPr="002049E2">
        <w:rPr>
          <w:b/>
          <w:sz w:val="24"/>
          <w:szCs w:val="24"/>
          <w:lang w:val="en-GB"/>
        </w:rPr>
        <w:t xml:space="preserve">3. </w:t>
      </w:r>
      <w:r w:rsidRPr="002049E2">
        <w:rPr>
          <w:b/>
          <w:sz w:val="24"/>
          <w:szCs w:val="24"/>
          <w:lang w:val="en-GB"/>
        </w:rPr>
        <w:tab/>
        <w:t>Programme</w:t>
      </w:r>
    </w:p>
    <w:p w:rsidR="009A5938" w:rsidRPr="002049E2" w:rsidRDefault="009A5938" w:rsidP="009A5938">
      <w:pPr>
        <w:spacing w:before="120"/>
        <w:ind w:left="426"/>
        <w:jc w:val="both"/>
        <w:outlineLvl w:val="0"/>
        <w:rPr>
          <w:rStyle w:val="Strong"/>
          <w:b w:val="0"/>
          <w:sz w:val="24"/>
          <w:szCs w:val="24"/>
        </w:rPr>
      </w:pPr>
      <w:r w:rsidRPr="002049E2">
        <w:rPr>
          <w:rStyle w:val="Strong"/>
          <w:b w:val="0"/>
          <w:sz w:val="24"/>
          <w:szCs w:val="24"/>
        </w:rPr>
        <w:t>Council Joint Action 2008/124/CFSP of 04 February 2008, on the European Union Rule of Law Mission in Kosovo, (hereafter “EULEX Kosovo”) as amended by Joint Action  2009/445/CFSP of 9 June 2009 and by Council Decision 2010/322/CFSP of 8 June 2010, Council Decision 2012/291/CFSP of 5 June 2012, Council Decision 2013/241/CFSP of 27 May 2013, Council Decision 2014/349/CFSP of 12 June 2014, Council Decision 2014/685/CFSP of 29 September 2014 and Council Decision (CFSP)2015/901 of 11 June 2015, Council Decision (CFSP)2016/947 of 14 June 2016, Council Decision (CFSP) 2016/1990 of 14 November 2016,  Council Decision (CFSP) 2017/973 of 8 June 2017 Council Decision (CFSP) 2018/856 of 8 June 2018.</w:t>
      </w:r>
    </w:p>
    <w:p w:rsidR="009A5938" w:rsidRPr="002049E2" w:rsidRDefault="009A5938" w:rsidP="009A5938">
      <w:pPr>
        <w:snapToGrid w:val="0"/>
        <w:ind w:left="709" w:hanging="349"/>
        <w:rPr>
          <w:rFonts w:eastAsia="Calibri"/>
          <w:b/>
          <w:bCs/>
          <w:sz w:val="24"/>
          <w:szCs w:val="24"/>
          <w:lang w:val="en-GB"/>
        </w:rPr>
      </w:pPr>
    </w:p>
    <w:p w:rsidR="009A5938" w:rsidRPr="002049E2" w:rsidRDefault="009A5938" w:rsidP="009A5938">
      <w:pPr>
        <w:snapToGrid w:val="0"/>
        <w:ind w:left="720"/>
        <w:jc w:val="both"/>
        <w:rPr>
          <w:b/>
          <w:sz w:val="24"/>
          <w:szCs w:val="24"/>
          <w:lang w:val="en-GB"/>
        </w:rPr>
      </w:pPr>
      <w:r w:rsidRPr="002049E2">
        <w:rPr>
          <w:b/>
          <w:sz w:val="24"/>
          <w:szCs w:val="24"/>
          <w:lang w:val="en-GB"/>
        </w:rPr>
        <w:t>21.             Selection criteria</w:t>
      </w:r>
    </w:p>
    <w:p w:rsidR="009A17E4" w:rsidRPr="002049E2" w:rsidRDefault="009A17E4" w:rsidP="009A17E4">
      <w:pPr>
        <w:shd w:val="clear" w:color="auto" w:fill="FFFFFF"/>
        <w:spacing w:before="120" w:after="120"/>
        <w:rPr>
          <w:b/>
          <w:bCs/>
          <w:sz w:val="24"/>
          <w:szCs w:val="24"/>
        </w:rPr>
      </w:pPr>
    </w:p>
    <w:p w:rsidR="009A5938" w:rsidRPr="002049E2" w:rsidRDefault="009A5938" w:rsidP="009A5938">
      <w:pPr>
        <w:snapToGrid w:val="0"/>
        <w:ind w:left="720"/>
        <w:jc w:val="both"/>
        <w:rPr>
          <w:sz w:val="24"/>
          <w:szCs w:val="24"/>
          <w:lang w:val="en-GB"/>
        </w:rPr>
      </w:pPr>
      <w:r w:rsidRPr="002049E2">
        <w:rPr>
          <w:b/>
          <w:sz w:val="24"/>
          <w:szCs w:val="24"/>
          <w:lang w:val="en-GB"/>
        </w:rPr>
        <w:t>3)</w:t>
      </w:r>
      <w:r w:rsidRPr="002049E2">
        <w:rPr>
          <w:b/>
          <w:sz w:val="24"/>
          <w:szCs w:val="24"/>
          <w:lang w:val="en-GB"/>
        </w:rPr>
        <w:tab/>
      </w:r>
      <w:r w:rsidRPr="002049E2">
        <w:rPr>
          <w:b/>
          <w:sz w:val="24"/>
          <w:szCs w:val="24"/>
          <w:u w:val="single"/>
          <w:lang w:val="en-GB"/>
        </w:rPr>
        <w:t xml:space="preserve">Technical capacity of candidate </w:t>
      </w:r>
      <w:r w:rsidRPr="002049E2">
        <w:rPr>
          <w:sz w:val="24"/>
          <w:szCs w:val="24"/>
          <w:lang w:val="en-GB"/>
        </w:rPr>
        <w:t>(based on items 5 and 6 of the application form). The reference period which will be taken into account will be the last three years preceding the submission deadline.</w:t>
      </w:r>
    </w:p>
    <w:p w:rsidR="009A5938" w:rsidRPr="002049E2" w:rsidRDefault="009A5938" w:rsidP="009A5938">
      <w:pPr>
        <w:numPr>
          <w:ilvl w:val="0"/>
          <w:numId w:val="6"/>
        </w:numPr>
        <w:snapToGrid w:val="0"/>
        <w:spacing w:before="100" w:after="100"/>
        <w:jc w:val="both"/>
        <w:rPr>
          <w:rFonts w:eastAsia="Calibri"/>
          <w:sz w:val="24"/>
          <w:szCs w:val="24"/>
        </w:rPr>
      </w:pPr>
      <w:r w:rsidRPr="002049E2">
        <w:rPr>
          <w:rFonts w:eastAsia="Calibri"/>
          <w:sz w:val="24"/>
          <w:szCs w:val="24"/>
        </w:rPr>
        <w:t>The candidate has provided successfully services on at least one (1) similar project in fields related to this contract in each year of the three previous years (2019, 2018, 2017), with a yearly budget equivalent of at least 400,000.00 EUR (four hundred thousand euro).</w:t>
      </w:r>
    </w:p>
    <w:p w:rsidR="009A5938" w:rsidRPr="002049E2" w:rsidRDefault="009A5938" w:rsidP="009A5938">
      <w:pPr>
        <w:keepNext/>
        <w:ind w:left="720"/>
        <w:jc w:val="both"/>
        <w:outlineLvl w:val="0"/>
        <w:rPr>
          <w:rStyle w:val="Strong"/>
          <w:sz w:val="24"/>
          <w:szCs w:val="24"/>
          <w:lang w:val="en-GB"/>
        </w:rPr>
      </w:pPr>
      <w:r w:rsidRPr="002049E2">
        <w:rPr>
          <w:rStyle w:val="Strong"/>
          <w:sz w:val="24"/>
          <w:szCs w:val="24"/>
          <w:lang w:val="en-GB"/>
        </w:rPr>
        <w:t xml:space="preserve">23. </w:t>
      </w:r>
      <w:r w:rsidRPr="002049E2">
        <w:rPr>
          <w:rStyle w:val="Strong"/>
          <w:sz w:val="24"/>
          <w:szCs w:val="24"/>
          <w:lang w:val="en-GB"/>
        </w:rPr>
        <w:tab/>
        <w:t>Deadline for receipt of applications</w:t>
      </w:r>
    </w:p>
    <w:p w:rsidR="009A5938" w:rsidRPr="002049E2" w:rsidRDefault="009A5938" w:rsidP="009A5938">
      <w:pPr>
        <w:pStyle w:val="Blockquote"/>
        <w:ind w:right="26"/>
        <w:jc w:val="both"/>
        <w:rPr>
          <w:rStyle w:val="Emphasis"/>
          <w:i w:val="0"/>
          <w:szCs w:val="24"/>
          <w:lang w:val="en-GB"/>
        </w:rPr>
      </w:pPr>
      <w:r w:rsidRPr="002049E2">
        <w:rPr>
          <w:rStyle w:val="Emphasis"/>
          <w:i w:val="0"/>
          <w:szCs w:val="24"/>
          <w:lang w:val="en-GB"/>
        </w:rPr>
        <w:t>The candidate attention is drawn to the fact that there are two different systems for sending applications: one is by post or private mail service, the other is by hand delivery.</w:t>
      </w:r>
    </w:p>
    <w:p w:rsidR="009A5938" w:rsidRPr="002049E2" w:rsidRDefault="009A5938" w:rsidP="009A5938">
      <w:pPr>
        <w:pStyle w:val="Blockquote"/>
        <w:ind w:right="26"/>
        <w:jc w:val="both"/>
        <w:rPr>
          <w:szCs w:val="24"/>
          <w:lang w:val="en-GB"/>
        </w:rPr>
      </w:pPr>
      <w:r w:rsidRPr="002049E2">
        <w:rPr>
          <w:rStyle w:val="Emphasis"/>
          <w:i w:val="0"/>
          <w:szCs w:val="24"/>
          <w:lang w:val="en-GB"/>
        </w:rPr>
        <w:t>In the first case, the application must be sent before the date and time limit for submission, as evidenced by the postmark or deposit slip</w:t>
      </w:r>
      <w:r w:rsidRPr="002049E2">
        <w:rPr>
          <w:rStyle w:val="FootnoteReference"/>
          <w:szCs w:val="24"/>
          <w:lang w:val="en-GB"/>
        </w:rPr>
        <w:footnoteReference w:id="1"/>
      </w:r>
      <w:r w:rsidRPr="002049E2">
        <w:rPr>
          <w:rStyle w:val="Emphasis"/>
          <w:i w:val="0"/>
          <w:szCs w:val="24"/>
          <w:lang w:val="en-GB"/>
        </w:rPr>
        <w:t>, but in the second case it is the acknowledgment of receipt given at the time of the delivery of the application that will serve as proof.</w:t>
      </w:r>
    </w:p>
    <w:p w:rsidR="009A5938" w:rsidRPr="002049E2" w:rsidRDefault="009A5938" w:rsidP="009A5938">
      <w:pPr>
        <w:pStyle w:val="Blockquote"/>
        <w:ind w:right="0"/>
        <w:jc w:val="both"/>
        <w:rPr>
          <w:rStyle w:val="Emphasis"/>
          <w:i w:val="0"/>
          <w:szCs w:val="24"/>
          <w:lang w:val="en-GB"/>
        </w:rPr>
      </w:pPr>
      <w:r w:rsidRPr="002049E2">
        <w:rPr>
          <w:rStyle w:val="Emphasis"/>
          <w:i w:val="0"/>
          <w:szCs w:val="24"/>
          <w:lang w:val="en-GB"/>
        </w:rPr>
        <w:lastRenderedPageBreak/>
        <w:t xml:space="preserve">On </w:t>
      </w:r>
      <w:r w:rsidRPr="002049E2">
        <w:rPr>
          <w:rStyle w:val="Emphasis"/>
          <w:b/>
          <w:i w:val="0"/>
          <w:szCs w:val="24"/>
          <w:u w:val="single"/>
          <w:lang w:val="en-GB"/>
        </w:rPr>
        <w:t>02/07/2020 at 15:00hrs</w:t>
      </w:r>
      <w:r w:rsidRPr="002049E2">
        <w:rPr>
          <w:rStyle w:val="Emphasis"/>
          <w:i w:val="0"/>
          <w:szCs w:val="24"/>
          <w:lang w:val="en-GB"/>
        </w:rPr>
        <w:t xml:space="preserve"> (Kosovo time zone).</w:t>
      </w:r>
    </w:p>
    <w:p w:rsidR="009A5938" w:rsidRPr="002049E2" w:rsidRDefault="009A5938" w:rsidP="009A5938">
      <w:pPr>
        <w:pStyle w:val="Blockquote"/>
        <w:ind w:right="26"/>
        <w:jc w:val="both"/>
        <w:rPr>
          <w:rStyle w:val="Emphasis"/>
          <w:i w:val="0"/>
          <w:szCs w:val="24"/>
          <w:lang w:val="en-GB"/>
        </w:rPr>
      </w:pPr>
      <w:r w:rsidRPr="002049E2">
        <w:rPr>
          <w:rStyle w:val="Emphasis"/>
          <w:i w:val="0"/>
          <w:szCs w:val="24"/>
          <w:lang w:val="en-GB"/>
        </w:rPr>
        <w:t>Any application sent to the contracting authority after this deadline will not be considered.</w:t>
      </w:r>
    </w:p>
    <w:p w:rsidR="009A5938" w:rsidRPr="002049E2" w:rsidRDefault="009A5938" w:rsidP="009A5938">
      <w:pPr>
        <w:shd w:val="clear" w:color="auto" w:fill="FFFFFF"/>
        <w:spacing w:before="120" w:after="120"/>
        <w:ind w:left="360"/>
        <w:jc w:val="both"/>
        <w:rPr>
          <w:b/>
          <w:bCs/>
          <w:sz w:val="24"/>
          <w:szCs w:val="24"/>
        </w:rPr>
      </w:pPr>
      <w:r w:rsidRPr="002049E2">
        <w:rPr>
          <w:sz w:val="24"/>
          <w:szCs w:val="24"/>
          <w:lang w:val="en-GB"/>
        </w:rPr>
        <w:t xml:space="preserve">The contracting authority may, for reasons of administrative efficiency, reject any application </w:t>
      </w:r>
      <w:r w:rsidRPr="002049E2">
        <w:rPr>
          <w:rStyle w:val="Emphasis"/>
          <w:sz w:val="24"/>
          <w:szCs w:val="24"/>
        </w:rPr>
        <w:t>submitted</w:t>
      </w:r>
      <w:r w:rsidRPr="002049E2">
        <w:rPr>
          <w:sz w:val="24"/>
          <w:szCs w:val="24"/>
          <w:lang w:val="en-GB"/>
        </w:rPr>
        <w:t xml:space="preserve"> on time to the postal service but received, for any reason beyond the contracting authority's control, after the effective date of approval of the short-list report, if accepting applications that were submitted on time but arrived late would considerably delay the evaluation </w:t>
      </w:r>
      <w:proofErr w:type="gramStart"/>
      <w:r w:rsidRPr="002049E2">
        <w:rPr>
          <w:sz w:val="24"/>
          <w:szCs w:val="24"/>
          <w:lang w:val="en-GB"/>
        </w:rPr>
        <w:t>procedure  or</w:t>
      </w:r>
      <w:proofErr w:type="gramEnd"/>
      <w:r w:rsidRPr="002049E2">
        <w:rPr>
          <w:sz w:val="24"/>
          <w:szCs w:val="24"/>
          <w:lang w:val="en-GB"/>
        </w:rPr>
        <w:t xml:space="preserve"> jeopardise decisions already taken and notified.</w:t>
      </w:r>
    </w:p>
    <w:p w:rsidR="009A5938" w:rsidRPr="002049E2" w:rsidRDefault="009A5938" w:rsidP="009A17E4">
      <w:pPr>
        <w:shd w:val="clear" w:color="auto" w:fill="FFFFFF"/>
        <w:spacing w:before="120" w:after="120"/>
        <w:rPr>
          <w:b/>
          <w:bCs/>
          <w:sz w:val="24"/>
          <w:szCs w:val="24"/>
        </w:rPr>
      </w:pPr>
    </w:p>
    <w:p w:rsidR="009A17E4" w:rsidRPr="002049E2" w:rsidRDefault="009A17E4" w:rsidP="009A17E4">
      <w:pPr>
        <w:widowControl w:val="0"/>
        <w:outlineLvl w:val="0"/>
        <w:rPr>
          <w:b/>
          <w:color w:val="FF0000"/>
          <w:sz w:val="24"/>
          <w:szCs w:val="24"/>
          <w:u w:val="single"/>
          <w:lang w:val="en-GB"/>
        </w:rPr>
      </w:pPr>
      <w:r w:rsidRPr="002049E2">
        <w:rPr>
          <w:rStyle w:val="Strong"/>
          <w:color w:val="FF0000"/>
          <w:sz w:val="24"/>
          <w:szCs w:val="24"/>
          <w:u w:val="single"/>
        </w:rPr>
        <w:t>SHALL</w:t>
      </w:r>
      <w:r w:rsidRPr="002049E2">
        <w:rPr>
          <w:color w:val="FF0000"/>
          <w:sz w:val="24"/>
          <w:szCs w:val="24"/>
          <w:u w:val="single"/>
          <w:lang w:val="en-GB"/>
        </w:rPr>
        <w:t xml:space="preserve"> </w:t>
      </w:r>
      <w:r w:rsidRPr="002049E2">
        <w:rPr>
          <w:b/>
          <w:color w:val="FF0000"/>
          <w:sz w:val="24"/>
          <w:szCs w:val="24"/>
          <w:u w:val="single"/>
          <w:lang w:val="en-GB"/>
        </w:rPr>
        <w:t>READ NOW:</w:t>
      </w:r>
    </w:p>
    <w:p w:rsidR="009A5938" w:rsidRPr="002049E2" w:rsidRDefault="009A5938" w:rsidP="009A17E4">
      <w:pPr>
        <w:widowControl w:val="0"/>
        <w:outlineLvl w:val="0"/>
        <w:rPr>
          <w:b/>
          <w:color w:val="FF0000"/>
          <w:sz w:val="24"/>
          <w:szCs w:val="24"/>
          <w:u w:val="single"/>
          <w:lang w:val="en-GB"/>
        </w:rPr>
      </w:pPr>
    </w:p>
    <w:p w:rsidR="009A5938" w:rsidRPr="002049E2" w:rsidRDefault="009A5938" w:rsidP="009A5938">
      <w:pPr>
        <w:ind w:left="709" w:hanging="349"/>
        <w:outlineLvl w:val="0"/>
        <w:rPr>
          <w:sz w:val="24"/>
          <w:szCs w:val="24"/>
          <w:lang w:val="en-GB"/>
        </w:rPr>
      </w:pPr>
      <w:r w:rsidRPr="002049E2">
        <w:rPr>
          <w:b/>
          <w:sz w:val="24"/>
          <w:szCs w:val="24"/>
          <w:lang w:val="en-GB"/>
        </w:rPr>
        <w:t xml:space="preserve">3. </w:t>
      </w:r>
      <w:r w:rsidRPr="002049E2">
        <w:rPr>
          <w:b/>
          <w:sz w:val="24"/>
          <w:szCs w:val="24"/>
          <w:lang w:val="en-GB"/>
        </w:rPr>
        <w:tab/>
        <w:t>Programme</w:t>
      </w:r>
    </w:p>
    <w:p w:rsidR="009A5938" w:rsidRPr="002049E2" w:rsidRDefault="009A5938" w:rsidP="009A17E4">
      <w:pPr>
        <w:widowControl w:val="0"/>
        <w:outlineLvl w:val="0"/>
        <w:rPr>
          <w:b/>
          <w:color w:val="FF0000"/>
          <w:sz w:val="24"/>
          <w:szCs w:val="24"/>
          <w:u w:val="single"/>
          <w:lang w:val="en-GB"/>
        </w:rPr>
      </w:pPr>
    </w:p>
    <w:p w:rsidR="009A5938" w:rsidRPr="002049E2" w:rsidRDefault="009A5938" w:rsidP="009A5938">
      <w:pPr>
        <w:pStyle w:val="Blockquote"/>
        <w:spacing w:before="120" w:after="120"/>
        <w:ind w:left="426"/>
        <w:jc w:val="both"/>
        <w:rPr>
          <w:color w:val="FF0000"/>
          <w:szCs w:val="24"/>
        </w:rPr>
      </w:pPr>
      <w:r w:rsidRPr="002049E2">
        <w:rPr>
          <w:color w:val="FF0000"/>
          <w:szCs w:val="24"/>
        </w:rPr>
        <w:t xml:space="preserve">CFSP/2018/19. This tender procedure is launched under suspensive </w:t>
      </w:r>
      <w:proofErr w:type="gramStart"/>
      <w:r w:rsidRPr="002049E2">
        <w:rPr>
          <w:color w:val="FF0000"/>
          <w:szCs w:val="24"/>
        </w:rPr>
        <w:t>clause  i.e</w:t>
      </w:r>
      <w:proofErr w:type="gramEnd"/>
      <w:r w:rsidRPr="002049E2">
        <w:rPr>
          <w:color w:val="FF0000"/>
          <w:szCs w:val="24"/>
        </w:rPr>
        <w:t xml:space="preserve">. the award of this specific tender is subject to the provision of funding to EULEX through the conclusion of a Contract between the European Commission and the EULEX Head of Mission. </w:t>
      </w:r>
    </w:p>
    <w:p w:rsidR="009A5938" w:rsidRPr="002049E2" w:rsidRDefault="009A5938" w:rsidP="009A17E4">
      <w:pPr>
        <w:widowControl w:val="0"/>
        <w:outlineLvl w:val="0"/>
        <w:rPr>
          <w:b/>
          <w:color w:val="FF0000"/>
          <w:sz w:val="24"/>
          <w:szCs w:val="24"/>
          <w:u w:val="single"/>
          <w:lang w:val="en-GB"/>
        </w:rPr>
      </w:pPr>
    </w:p>
    <w:p w:rsidR="009A17E4" w:rsidRPr="002049E2" w:rsidRDefault="009A17E4" w:rsidP="009A17E4">
      <w:pPr>
        <w:autoSpaceDE w:val="0"/>
        <w:autoSpaceDN w:val="0"/>
        <w:adjustRightInd w:val="0"/>
        <w:jc w:val="center"/>
        <w:rPr>
          <w:b/>
          <w:color w:val="FF0000"/>
          <w:sz w:val="24"/>
          <w:szCs w:val="24"/>
          <w:lang w:val="fr-FR"/>
        </w:rPr>
      </w:pPr>
    </w:p>
    <w:p w:rsidR="009A5938" w:rsidRPr="002049E2" w:rsidRDefault="009A5938" w:rsidP="009A5938">
      <w:pPr>
        <w:snapToGrid w:val="0"/>
        <w:ind w:left="720"/>
        <w:jc w:val="both"/>
        <w:rPr>
          <w:b/>
          <w:sz w:val="24"/>
          <w:szCs w:val="24"/>
          <w:u w:val="single"/>
          <w:lang w:val="en-GB"/>
        </w:rPr>
      </w:pPr>
      <w:r w:rsidRPr="002049E2">
        <w:rPr>
          <w:b/>
          <w:sz w:val="24"/>
          <w:szCs w:val="24"/>
          <w:u w:val="single"/>
          <w:lang w:val="en-GB"/>
        </w:rPr>
        <w:t>21.             Selection criteria</w:t>
      </w:r>
    </w:p>
    <w:p w:rsidR="009A5938" w:rsidRPr="002049E2" w:rsidRDefault="009A5938" w:rsidP="009A5938">
      <w:pPr>
        <w:snapToGrid w:val="0"/>
        <w:ind w:left="720"/>
        <w:jc w:val="both"/>
        <w:rPr>
          <w:sz w:val="24"/>
          <w:szCs w:val="24"/>
          <w:lang w:val="en-GB"/>
        </w:rPr>
      </w:pPr>
      <w:r w:rsidRPr="002049E2">
        <w:rPr>
          <w:b/>
          <w:sz w:val="24"/>
          <w:szCs w:val="24"/>
          <w:lang w:val="en-GB"/>
        </w:rPr>
        <w:t>3)</w:t>
      </w:r>
      <w:r w:rsidRPr="002049E2">
        <w:rPr>
          <w:b/>
          <w:sz w:val="24"/>
          <w:szCs w:val="24"/>
          <w:lang w:val="en-GB"/>
        </w:rPr>
        <w:tab/>
      </w:r>
      <w:r w:rsidRPr="002049E2">
        <w:rPr>
          <w:b/>
          <w:sz w:val="24"/>
          <w:szCs w:val="24"/>
          <w:u w:val="single"/>
          <w:lang w:val="en-GB"/>
        </w:rPr>
        <w:t xml:space="preserve">Technical capacity of candidate </w:t>
      </w:r>
      <w:r w:rsidRPr="002049E2">
        <w:rPr>
          <w:sz w:val="24"/>
          <w:szCs w:val="24"/>
          <w:lang w:val="en-GB"/>
        </w:rPr>
        <w:t>(based on items 5 and 6 of the application form). The reference period which will be taken into account will be the last three years preceding the submission deadline.</w:t>
      </w:r>
    </w:p>
    <w:p w:rsidR="009A5938" w:rsidRPr="002049E2" w:rsidRDefault="009A5938" w:rsidP="009A17E4">
      <w:pPr>
        <w:autoSpaceDE w:val="0"/>
        <w:autoSpaceDN w:val="0"/>
        <w:adjustRightInd w:val="0"/>
        <w:jc w:val="center"/>
        <w:rPr>
          <w:b/>
          <w:sz w:val="24"/>
          <w:szCs w:val="24"/>
          <w:lang w:val="fr-FR"/>
        </w:rPr>
      </w:pPr>
    </w:p>
    <w:p w:rsidR="009A5938" w:rsidRPr="002049E2" w:rsidRDefault="009A5938" w:rsidP="009A5938">
      <w:pPr>
        <w:numPr>
          <w:ilvl w:val="0"/>
          <w:numId w:val="6"/>
        </w:numPr>
        <w:snapToGrid w:val="0"/>
        <w:spacing w:before="100" w:after="100"/>
        <w:jc w:val="both"/>
        <w:rPr>
          <w:rFonts w:eastAsia="Calibri"/>
          <w:color w:val="FF0000"/>
          <w:sz w:val="24"/>
          <w:szCs w:val="24"/>
        </w:rPr>
      </w:pPr>
      <w:r w:rsidRPr="002049E2">
        <w:rPr>
          <w:rFonts w:eastAsia="Calibri"/>
          <w:color w:val="FF0000"/>
          <w:sz w:val="24"/>
          <w:szCs w:val="24"/>
        </w:rPr>
        <w:t xml:space="preserve">The candidate has provided services under at least three (3) contracts each with a budget of at least 400,000.00 Euro in fields related to this contract which were implemented at any moment during the reference period: 2019, 2018, </w:t>
      </w:r>
      <w:proofErr w:type="gramStart"/>
      <w:r w:rsidRPr="002049E2">
        <w:rPr>
          <w:rFonts w:eastAsia="Calibri"/>
          <w:color w:val="FF0000"/>
          <w:sz w:val="24"/>
          <w:szCs w:val="24"/>
        </w:rPr>
        <w:t>2017</w:t>
      </w:r>
      <w:proofErr w:type="gramEnd"/>
      <w:r w:rsidRPr="002049E2">
        <w:rPr>
          <w:rFonts w:eastAsia="Calibri"/>
          <w:color w:val="FF0000"/>
          <w:sz w:val="24"/>
          <w:szCs w:val="24"/>
        </w:rPr>
        <w:t>.</w:t>
      </w:r>
    </w:p>
    <w:p w:rsidR="009A5938" w:rsidRPr="002049E2" w:rsidRDefault="009A5938" w:rsidP="009A5938">
      <w:pPr>
        <w:keepNext/>
        <w:jc w:val="both"/>
        <w:outlineLvl w:val="0"/>
        <w:rPr>
          <w:rStyle w:val="Strong"/>
          <w:sz w:val="24"/>
          <w:szCs w:val="24"/>
          <w:lang w:val="en-GB"/>
        </w:rPr>
      </w:pPr>
      <w:r w:rsidRPr="002049E2">
        <w:rPr>
          <w:rStyle w:val="Strong"/>
          <w:sz w:val="24"/>
          <w:szCs w:val="24"/>
          <w:lang w:val="en-GB"/>
        </w:rPr>
        <w:t xml:space="preserve">23. </w:t>
      </w:r>
      <w:r w:rsidRPr="002049E2">
        <w:rPr>
          <w:rStyle w:val="Strong"/>
          <w:sz w:val="24"/>
          <w:szCs w:val="24"/>
          <w:lang w:val="en-GB"/>
        </w:rPr>
        <w:tab/>
        <w:t>Deadline for receipt of applications</w:t>
      </w:r>
    </w:p>
    <w:p w:rsidR="009A5938" w:rsidRPr="002049E2" w:rsidRDefault="009A5938" w:rsidP="009A5938">
      <w:pPr>
        <w:pStyle w:val="Blockquote"/>
        <w:ind w:right="26"/>
        <w:jc w:val="both"/>
        <w:rPr>
          <w:rStyle w:val="Emphasis"/>
          <w:i w:val="0"/>
          <w:szCs w:val="24"/>
          <w:lang w:val="en-GB"/>
        </w:rPr>
      </w:pPr>
      <w:r w:rsidRPr="002049E2">
        <w:rPr>
          <w:rStyle w:val="Emphasis"/>
          <w:i w:val="0"/>
          <w:szCs w:val="24"/>
          <w:lang w:val="en-GB"/>
        </w:rPr>
        <w:t>The candidate attention is drawn to the fact that there are two different systems for sending applications: one is by post or private mail service, the other is by hand delivery.</w:t>
      </w:r>
    </w:p>
    <w:p w:rsidR="009A5938" w:rsidRPr="002049E2" w:rsidRDefault="009A5938" w:rsidP="009A5938">
      <w:pPr>
        <w:pStyle w:val="Blockquote"/>
        <w:ind w:right="26"/>
        <w:jc w:val="both"/>
        <w:rPr>
          <w:szCs w:val="24"/>
          <w:lang w:val="en-GB"/>
        </w:rPr>
      </w:pPr>
      <w:r w:rsidRPr="002049E2">
        <w:rPr>
          <w:rStyle w:val="Emphasis"/>
          <w:i w:val="0"/>
          <w:szCs w:val="24"/>
          <w:lang w:val="en-GB"/>
        </w:rPr>
        <w:t>In the first case, the application must be sent before the date and time limit for submission, as evidenced by the postmark or deposit slip</w:t>
      </w:r>
      <w:r w:rsidRPr="002049E2">
        <w:rPr>
          <w:rStyle w:val="FootnoteReference"/>
          <w:szCs w:val="24"/>
          <w:lang w:val="en-GB"/>
        </w:rPr>
        <w:footnoteReference w:id="2"/>
      </w:r>
      <w:r w:rsidRPr="002049E2">
        <w:rPr>
          <w:rStyle w:val="Emphasis"/>
          <w:i w:val="0"/>
          <w:szCs w:val="24"/>
          <w:lang w:val="en-GB"/>
        </w:rPr>
        <w:t>, but in the second case it is the acknowledgment of receipt given at the time of the delivery of the application that will serve as proof.</w:t>
      </w:r>
    </w:p>
    <w:p w:rsidR="009A5938" w:rsidRPr="002049E2" w:rsidRDefault="009A5938" w:rsidP="009A5938">
      <w:pPr>
        <w:pStyle w:val="Blockquote"/>
        <w:ind w:right="0"/>
        <w:jc w:val="both"/>
        <w:rPr>
          <w:rStyle w:val="Emphasis"/>
          <w:i w:val="0"/>
          <w:szCs w:val="24"/>
          <w:lang w:val="en-GB"/>
        </w:rPr>
      </w:pPr>
      <w:r w:rsidRPr="002049E2">
        <w:rPr>
          <w:rStyle w:val="Emphasis"/>
          <w:i w:val="0"/>
          <w:szCs w:val="24"/>
          <w:lang w:val="en-GB"/>
        </w:rPr>
        <w:t xml:space="preserve">On </w:t>
      </w:r>
      <w:r w:rsidRPr="002049E2">
        <w:rPr>
          <w:rStyle w:val="Emphasis"/>
          <w:b/>
          <w:i w:val="0"/>
          <w:color w:val="FF0000"/>
          <w:szCs w:val="24"/>
          <w:u w:val="single"/>
          <w:lang w:val="en-GB"/>
        </w:rPr>
        <w:t>09/07/2020 at 15:00hrs</w:t>
      </w:r>
      <w:r w:rsidRPr="002049E2">
        <w:rPr>
          <w:rStyle w:val="Emphasis"/>
          <w:i w:val="0"/>
          <w:color w:val="FF0000"/>
          <w:szCs w:val="24"/>
          <w:lang w:val="en-GB"/>
        </w:rPr>
        <w:t xml:space="preserve"> </w:t>
      </w:r>
      <w:r w:rsidRPr="002049E2">
        <w:rPr>
          <w:rStyle w:val="Emphasis"/>
          <w:i w:val="0"/>
          <w:szCs w:val="24"/>
          <w:lang w:val="en-GB"/>
        </w:rPr>
        <w:t>(Kosovo time zone).</w:t>
      </w:r>
    </w:p>
    <w:p w:rsidR="009A5938" w:rsidRPr="002049E2" w:rsidRDefault="009A5938" w:rsidP="009A5938">
      <w:pPr>
        <w:pStyle w:val="Blockquote"/>
        <w:ind w:right="26"/>
        <w:jc w:val="both"/>
        <w:rPr>
          <w:rStyle w:val="Emphasis"/>
          <w:i w:val="0"/>
          <w:szCs w:val="24"/>
          <w:lang w:val="en-GB"/>
        </w:rPr>
      </w:pPr>
      <w:r w:rsidRPr="002049E2">
        <w:rPr>
          <w:rStyle w:val="Emphasis"/>
          <w:i w:val="0"/>
          <w:szCs w:val="24"/>
          <w:lang w:val="en-GB"/>
        </w:rPr>
        <w:t>Any application sent to the contracting authority after this deadline will not be considered.</w:t>
      </w:r>
    </w:p>
    <w:p w:rsidR="009A5938" w:rsidRPr="002049E2" w:rsidRDefault="009A5938" w:rsidP="009A5938">
      <w:pPr>
        <w:shd w:val="clear" w:color="auto" w:fill="FFFFFF"/>
        <w:spacing w:before="120" w:after="120"/>
        <w:ind w:left="360"/>
        <w:jc w:val="both"/>
        <w:rPr>
          <w:b/>
          <w:bCs/>
          <w:sz w:val="24"/>
          <w:szCs w:val="24"/>
        </w:rPr>
      </w:pPr>
      <w:r w:rsidRPr="002049E2">
        <w:rPr>
          <w:sz w:val="24"/>
          <w:szCs w:val="24"/>
          <w:lang w:val="en-GB"/>
        </w:rPr>
        <w:t xml:space="preserve">The contracting authority may, for reasons of administrative efficiency, reject any application </w:t>
      </w:r>
      <w:r w:rsidRPr="002049E2">
        <w:rPr>
          <w:rStyle w:val="Emphasis"/>
          <w:i w:val="0"/>
          <w:sz w:val="24"/>
          <w:szCs w:val="24"/>
        </w:rPr>
        <w:t>submitted</w:t>
      </w:r>
      <w:r w:rsidRPr="002049E2">
        <w:rPr>
          <w:i/>
          <w:sz w:val="24"/>
          <w:szCs w:val="24"/>
          <w:lang w:val="en-GB"/>
        </w:rPr>
        <w:t xml:space="preserve"> </w:t>
      </w:r>
      <w:r w:rsidRPr="002049E2">
        <w:rPr>
          <w:sz w:val="24"/>
          <w:szCs w:val="24"/>
          <w:lang w:val="en-GB"/>
        </w:rPr>
        <w:t>on time to the postal service but received, for any reason beyond the contracting authority's control, after the effective date of approval of the short-list report, if accepting applications that were submitted on time but arrived late would considerably delay the evaluation procedure or jeopardise decisions already taken and notified.</w:t>
      </w:r>
    </w:p>
    <w:p w:rsidR="009A5938" w:rsidRDefault="009A5938" w:rsidP="009A5938">
      <w:pPr>
        <w:spacing w:before="100" w:beforeAutospacing="1" w:after="100" w:afterAutospacing="1"/>
        <w:jc w:val="both"/>
        <w:rPr>
          <w:b/>
        </w:rPr>
      </w:pPr>
      <w:r>
        <w:rPr>
          <w:b/>
        </w:rPr>
        <w:t>All other terms and conditions of the Contract Notice remain unchanged. The above alterations and /or corrections to the Contract Notice are integral part of the Contract Notice.</w:t>
      </w:r>
    </w:p>
    <w:p w:rsidR="009A17E4" w:rsidRPr="0024632B" w:rsidRDefault="009A17E4" w:rsidP="009A17E4">
      <w:pPr>
        <w:rPr>
          <w:i/>
          <w:sz w:val="22"/>
          <w:szCs w:val="22"/>
          <w:lang w:val="en-GB"/>
        </w:rPr>
      </w:pPr>
    </w:p>
    <w:p w:rsidR="00850EB9" w:rsidRPr="00E66DF0" w:rsidRDefault="009A17E4">
      <w:pPr>
        <w:rPr>
          <w:b/>
          <w:i/>
          <w:sz w:val="22"/>
          <w:szCs w:val="22"/>
          <w:lang w:val="en-GB"/>
        </w:rPr>
      </w:pPr>
      <w:proofErr w:type="spellStart"/>
      <w:r w:rsidRPr="001B3345">
        <w:rPr>
          <w:b/>
          <w:i/>
          <w:sz w:val="22"/>
          <w:szCs w:val="22"/>
          <w:lang w:val="en-GB"/>
        </w:rPr>
        <w:t>EoT</w:t>
      </w:r>
      <w:bookmarkStart w:id="1" w:name="_GoBack"/>
      <w:bookmarkEnd w:id="1"/>
      <w:proofErr w:type="spellEnd"/>
    </w:p>
    <w:sectPr w:rsidR="00850EB9" w:rsidRPr="00E66DF0" w:rsidSect="00412803">
      <w:pgSz w:w="12240" w:h="15840" w:code="1"/>
      <w:pgMar w:top="1077" w:right="1151" w:bottom="539" w:left="862"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938" w:rsidRDefault="009A5938" w:rsidP="009A5938">
      <w:r>
        <w:separator/>
      </w:r>
    </w:p>
  </w:endnote>
  <w:endnote w:type="continuationSeparator" w:id="0">
    <w:p w:rsidR="009A5938" w:rsidRDefault="009A5938" w:rsidP="009A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938" w:rsidRDefault="009A5938" w:rsidP="009A5938">
      <w:r>
        <w:separator/>
      </w:r>
    </w:p>
  </w:footnote>
  <w:footnote w:type="continuationSeparator" w:id="0">
    <w:p w:rsidR="009A5938" w:rsidRDefault="009A5938" w:rsidP="009A5938">
      <w:r>
        <w:continuationSeparator/>
      </w:r>
    </w:p>
  </w:footnote>
  <w:footnote w:id="1">
    <w:p w:rsidR="009A5938" w:rsidRPr="002C38A0" w:rsidRDefault="009A5938" w:rsidP="009A5938">
      <w:pPr>
        <w:pStyle w:val="FootnoteText"/>
        <w:rPr>
          <w:lang w:val="en-GB"/>
        </w:rPr>
      </w:pPr>
      <w:r>
        <w:rPr>
          <w:rStyle w:val="FootnoteReference"/>
        </w:rPr>
        <w:footnoteRef/>
      </w:r>
      <w:r>
        <w:t xml:space="preserve"> </w:t>
      </w:r>
      <w:r w:rsidRPr="002C38A0">
        <w:rPr>
          <w:lang w:val="en-GB"/>
        </w:rPr>
        <w:t>It is recommended to use registered mail in case the postmark would not be readable.</w:t>
      </w:r>
    </w:p>
  </w:footnote>
  <w:footnote w:id="2">
    <w:p w:rsidR="009A5938" w:rsidRPr="002C38A0" w:rsidRDefault="009A5938" w:rsidP="009A5938">
      <w:pPr>
        <w:pStyle w:val="FootnoteText"/>
        <w:rPr>
          <w:lang w:val="en-GB"/>
        </w:rPr>
      </w:pPr>
      <w:r>
        <w:rPr>
          <w:rStyle w:val="FootnoteReference"/>
        </w:rPr>
        <w:footnoteRef/>
      </w:r>
      <w:r>
        <w:t xml:space="preserve"> </w:t>
      </w:r>
      <w:r w:rsidRPr="002C38A0">
        <w:rPr>
          <w:lang w:val="en-GB"/>
        </w:rPr>
        <w:t>It is recommended to use registered mail in case the postmark would not be readable.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FFE0E05"/>
    <w:multiLevelType w:val="hybridMultilevel"/>
    <w:tmpl w:val="A32ECAF4"/>
    <w:lvl w:ilvl="0" w:tplc="04090001">
      <w:start w:val="1"/>
      <w:numFmt w:val="bullet"/>
      <w:pStyle w:val="titre4"/>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ABF6FD9"/>
    <w:multiLevelType w:val="hybridMultilevel"/>
    <w:tmpl w:val="8BEAF8BA"/>
    <w:lvl w:ilvl="0" w:tplc="0EAA152C">
      <w:start w:val="8"/>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3C402B20"/>
    <w:multiLevelType w:val="hybridMultilevel"/>
    <w:tmpl w:val="7E6EA5B8"/>
    <w:lvl w:ilvl="0" w:tplc="2D00BAC8">
      <w:start w:val="2"/>
      <w:numFmt w:val="decimal"/>
      <w:lvlText w:val="%1."/>
      <w:lvlJc w:val="left"/>
      <w:pPr>
        <w:ind w:left="720" w:hanging="360"/>
      </w:pPr>
      <w:rPr>
        <w:rFonts w:hint="default"/>
        <w:b/>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98607D"/>
    <w:multiLevelType w:val="hybridMultilevel"/>
    <w:tmpl w:val="FEC6A176"/>
    <w:lvl w:ilvl="0" w:tplc="27067DE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69216D6C"/>
    <w:multiLevelType w:val="multilevel"/>
    <w:tmpl w:val="B36CAA38"/>
    <w:lvl w:ilvl="0">
      <w:start w:val="1"/>
      <w:numFmt w:val="decimal"/>
      <w:pStyle w:val="Heading1"/>
      <w:lvlText w:val="%1"/>
      <w:lvlJc w:val="left"/>
      <w:pPr>
        <w:tabs>
          <w:tab w:val="num" w:pos="567"/>
        </w:tabs>
        <w:ind w:left="567" w:hanging="567"/>
      </w:pPr>
      <w:rPr>
        <w:rFonts w:ascii="Arial" w:hAnsi="Arial" w:hint="default"/>
        <w:b/>
        <w:i w:val="0"/>
        <w:sz w:val="20"/>
      </w:rPr>
    </w:lvl>
    <w:lvl w:ilvl="1">
      <w:start w:val="2"/>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none"/>
      <w:pStyle w:val="Heading6"/>
      <w:lvlText w:val=""/>
      <w:lvlJc w:val="left"/>
      <w:pPr>
        <w:tabs>
          <w:tab w:val="num" w:pos="360"/>
        </w:tabs>
        <w:ind w:left="0" w:firstLine="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763D54F5"/>
    <w:multiLevelType w:val="hybridMultilevel"/>
    <w:tmpl w:val="1EBA33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6"/>
  </w:num>
  <w:num w:numId="7">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7E4"/>
    <w:rsid w:val="002049E2"/>
    <w:rsid w:val="006442B3"/>
    <w:rsid w:val="00850EB9"/>
    <w:rsid w:val="009A17E4"/>
    <w:rsid w:val="009A5938"/>
    <w:rsid w:val="00E66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95392068-BC8B-40FC-9D45-03E0B60DD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7E4"/>
    <w:pPr>
      <w:spacing w:after="0" w:line="240" w:lineRule="auto"/>
    </w:pPr>
    <w:rPr>
      <w:rFonts w:ascii="Times New Roman" w:eastAsia="Times New Roman" w:hAnsi="Times New Roman" w:cs="Times New Roman"/>
      <w:sz w:val="20"/>
      <w:szCs w:val="20"/>
      <w:lang w:eastAsia="fr-FR"/>
    </w:rPr>
  </w:style>
  <w:style w:type="paragraph" w:styleId="Heading1">
    <w:name w:val="heading 1"/>
    <w:aliases w:val=" Car,Car"/>
    <w:basedOn w:val="Normal"/>
    <w:next w:val="Normal"/>
    <w:link w:val="Heading1Char"/>
    <w:qFormat/>
    <w:rsid w:val="009A17E4"/>
    <w:pPr>
      <w:keepNext/>
      <w:numPr>
        <w:numId w:val="2"/>
      </w:numPr>
      <w:spacing w:before="240" w:after="60"/>
      <w:outlineLvl w:val="0"/>
    </w:pPr>
    <w:rPr>
      <w:rFonts w:ascii="Arial" w:hAnsi="Arial" w:cs="Arial"/>
      <w:b/>
      <w:bCs/>
      <w:kern w:val="32"/>
      <w:sz w:val="32"/>
      <w:szCs w:val="32"/>
    </w:rPr>
  </w:style>
  <w:style w:type="paragraph" w:styleId="Heading4">
    <w:name w:val="heading 4"/>
    <w:basedOn w:val="Normal"/>
    <w:next w:val="Normal"/>
    <w:link w:val="Heading4Char"/>
    <w:qFormat/>
    <w:rsid w:val="009A17E4"/>
    <w:pPr>
      <w:keepNext/>
      <w:numPr>
        <w:ilvl w:val="3"/>
        <w:numId w:val="2"/>
      </w:numPr>
      <w:spacing w:before="240" w:after="60"/>
      <w:outlineLvl w:val="3"/>
    </w:pPr>
    <w:rPr>
      <w:rFonts w:ascii="Arial" w:hAnsi="Arial"/>
      <w:b/>
      <w:snapToGrid w:val="0"/>
      <w:sz w:val="24"/>
      <w:lang w:val="sv-SE" w:eastAsia="en-US"/>
    </w:rPr>
  </w:style>
  <w:style w:type="paragraph" w:styleId="Heading5">
    <w:name w:val="heading 5"/>
    <w:basedOn w:val="Normal"/>
    <w:next w:val="Normal"/>
    <w:link w:val="Heading5Char"/>
    <w:qFormat/>
    <w:rsid w:val="009A17E4"/>
    <w:pPr>
      <w:numPr>
        <w:ilvl w:val="4"/>
        <w:numId w:val="2"/>
      </w:numPr>
      <w:spacing w:before="240" w:after="60"/>
      <w:outlineLvl w:val="4"/>
    </w:pPr>
    <w:rPr>
      <w:rFonts w:ascii="Arial" w:hAnsi="Arial"/>
      <w:snapToGrid w:val="0"/>
      <w:sz w:val="22"/>
      <w:lang w:val="sv-SE" w:eastAsia="en-US"/>
    </w:rPr>
  </w:style>
  <w:style w:type="paragraph" w:styleId="Heading6">
    <w:name w:val="heading 6"/>
    <w:basedOn w:val="Normal"/>
    <w:next w:val="Normal"/>
    <w:link w:val="Heading6Char"/>
    <w:qFormat/>
    <w:rsid w:val="009A17E4"/>
    <w:pPr>
      <w:numPr>
        <w:ilvl w:val="5"/>
        <w:numId w:val="2"/>
      </w:numPr>
      <w:tabs>
        <w:tab w:val="num" w:pos="1152"/>
      </w:tabs>
      <w:spacing w:before="240" w:after="60"/>
      <w:outlineLvl w:val="5"/>
    </w:pPr>
    <w:rPr>
      <w:rFonts w:ascii="Arial" w:hAnsi="Arial"/>
      <w:i/>
      <w:snapToGrid w:val="0"/>
      <w:sz w:val="22"/>
      <w:lang w:val="sv-SE" w:eastAsia="en-US"/>
    </w:rPr>
  </w:style>
  <w:style w:type="paragraph" w:styleId="Heading7">
    <w:name w:val="heading 7"/>
    <w:basedOn w:val="Normal"/>
    <w:next w:val="Normal"/>
    <w:link w:val="Heading7Char"/>
    <w:qFormat/>
    <w:rsid w:val="009A17E4"/>
    <w:pPr>
      <w:numPr>
        <w:ilvl w:val="6"/>
        <w:numId w:val="2"/>
      </w:numPr>
      <w:spacing w:before="240" w:after="60"/>
      <w:outlineLvl w:val="6"/>
    </w:pPr>
    <w:rPr>
      <w:rFonts w:ascii="Arial" w:hAnsi="Arial"/>
      <w:snapToGrid w:val="0"/>
      <w:lang w:val="sv-SE" w:eastAsia="en-US"/>
    </w:rPr>
  </w:style>
  <w:style w:type="paragraph" w:styleId="Heading8">
    <w:name w:val="heading 8"/>
    <w:basedOn w:val="Normal"/>
    <w:next w:val="Normal"/>
    <w:link w:val="Heading8Char"/>
    <w:qFormat/>
    <w:rsid w:val="009A17E4"/>
    <w:pPr>
      <w:numPr>
        <w:ilvl w:val="7"/>
        <w:numId w:val="2"/>
      </w:numPr>
      <w:spacing w:before="240" w:after="60"/>
      <w:outlineLvl w:val="7"/>
    </w:pPr>
    <w:rPr>
      <w:rFonts w:ascii="Arial" w:hAnsi="Arial"/>
      <w:i/>
      <w:snapToGrid w:val="0"/>
      <w:lang w:val="sv-SE" w:eastAsia="en-US"/>
    </w:rPr>
  </w:style>
  <w:style w:type="paragraph" w:styleId="Heading9">
    <w:name w:val="heading 9"/>
    <w:basedOn w:val="Normal"/>
    <w:next w:val="Normal"/>
    <w:link w:val="Heading9Char"/>
    <w:qFormat/>
    <w:rsid w:val="009A17E4"/>
    <w:pPr>
      <w:numPr>
        <w:ilvl w:val="8"/>
        <w:numId w:val="2"/>
      </w:numPr>
      <w:spacing w:before="240" w:after="60"/>
      <w:outlineLvl w:val="8"/>
    </w:pPr>
    <w:rPr>
      <w:rFonts w:ascii="Arial" w:hAnsi="Arial"/>
      <w:b/>
      <w:i/>
      <w:snapToGrid w:val="0"/>
      <w:sz w:val="18"/>
      <w:lang w:val="sv-S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ar Char,Car Char"/>
    <w:basedOn w:val="DefaultParagraphFont"/>
    <w:link w:val="Heading1"/>
    <w:rsid w:val="009A17E4"/>
    <w:rPr>
      <w:rFonts w:ascii="Arial" w:eastAsia="Times New Roman" w:hAnsi="Arial" w:cs="Arial"/>
      <w:b/>
      <w:bCs/>
      <w:kern w:val="32"/>
      <w:sz w:val="32"/>
      <w:szCs w:val="32"/>
      <w:lang w:eastAsia="fr-FR"/>
    </w:rPr>
  </w:style>
  <w:style w:type="character" w:customStyle="1" w:styleId="Heading4Char">
    <w:name w:val="Heading 4 Char"/>
    <w:basedOn w:val="DefaultParagraphFont"/>
    <w:link w:val="Heading4"/>
    <w:rsid w:val="009A17E4"/>
    <w:rPr>
      <w:rFonts w:ascii="Arial" w:eastAsia="Times New Roman" w:hAnsi="Arial" w:cs="Times New Roman"/>
      <w:b/>
      <w:snapToGrid w:val="0"/>
      <w:sz w:val="24"/>
      <w:szCs w:val="20"/>
      <w:lang w:val="sv-SE"/>
    </w:rPr>
  </w:style>
  <w:style w:type="character" w:customStyle="1" w:styleId="Heading5Char">
    <w:name w:val="Heading 5 Char"/>
    <w:basedOn w:val="DefaultParagraphFont"/>
    <w:link w:val="Heading5"/>
    <w:rsid w:val="009A17E4"/>
    <w:rPr>
      <w:rFonts w:ascii="Arial" w:eastAsia="Times New Roman" w:hAnsi="Arial" w:cs="Times New Roman"/>
      <w:snapToGrid w:val="0"/>
      <w:szCs w:val="20"/>
      <w:lang w:val="sv-SE"/>
    </w:rPr>
  </w:style>
  <w:style w:type="character" w:customStyle="1" w:styleId="Heading6Char">
    <w:name w:val="Heading 6 Char"/>
    <w:basedOn w:val="DefaultParagraphFont"/>
    <w:link w:val="Heading6"/>
    <w:rsid w:val="009A17E4"/>
    <w:rPr>
      <w:rFonts w:ascii="Arial" w:eastAsia="Times New Roman" w:hAnsi="Arial" w:cs="Times New Roman"/>
      <w:i/>
      <w:snapToGrid w:val="0"/>
      <w:szCs w:val="20"/>
      <w:lang w:val="sv-SE"/>
    </w:rPr>
  </w:style>
  <w:style w:type="character" w:customStyle="1" w:styleId="Heading7Char">
    <w:name w:val="Heading 7 Char"/>
    <w:basedOn w:val="DefaultParagraphFont"/>
    <w:link w:val="Heading7"/>
    <w:rsid w:val="009A17E4"/>
    <w:rPr>
      <w:rFonts w:ascii="Arial" w:eastAsia="Times New Roman" w:hAnsi="Arial" w:cs="Times New Roman"/>
      <w:snapToGrid w:val="0"/>
      <w:sz w:val="20"/>
      <w:szCs w:val="20"/>
      <w:lang w:val="sv-SE"/>
    </w:rPr>
  </w:style>
  <w:style w:type="character" w:customStyle="1" w:styleId="Heading8Char">
    <w:name w:val="Heading 8 Char"/>
    <w:basedOn w:val="DefaultParagraphFont"/>
    <w:link w:val="Heading8"/>
    <w:rsid w:val="009A17E4"/>
    <w:rPr>
      <w:rFonts w:ascii="Arial" w:eastAsia="Times New Roman" w:hAnsi="Arial" w:cs="Times New Roman"/>
      <w:i/>
      <w:snapToGrid w:val="0"/>
      <w:sz w:val="20"/>
      <w:szCs w:val="20"/>
      <w:lang w:val="sv-SE"/>
    </w:rPr>
  </w:style>
  <w:style w:type="character" w:customStyle="1" w:styleId="Heading9Char">
    <w:name w:val="Heading 9 Char"/>
    <w:basedOn w:val="DefaultParagraphFont"/>
    <w:link w:val="Heading9"/>
    <w:rsid w:val="009A17E4"/>
    <w:rPr>
      <w:rFonts w:ascii="Arial" w:eastAsia="Times New Roman" w:hAnsi="Arial" w:cs="Times New Roman"/>
      <w:b/>
      <w:i/>
      <w:snapToGrid w:val="0"/>
      <w:sz w:val="18"/>
      <w:szCs w:val="20"/>
      <w:lang w:val="sv-SE"/>
    </w:rPr>
  </w:style>
  <w:style w:type="character" w:styleId="Hyperlink">
    <w:name w:val="Hyperlink"/>
    <w:rsid w:val="009A17E4"/>
    <w:rPr>
      <w:color w:val="0000FF"/>
      <w:u w:val="single"/>
    </w:rPr>
  </w:style>
  <w:style w:type="character" w:styleId="Strong">
    <w:name w:val="Strong"/>
    <w:qFormat/>
    <w:rsid w:val="009A17E4"/>
    <w:rPr>
      <w:b/>
      <w:bCs/>
    </w:rPr>
  </w:style>
  <w:style w:type="paragraph" w:styleId="ListParagraph">
    <w:name w:val="List Paragraph"/>
    <w:basedOn w:val="Normal"/>
    <w:link w:val="ListParagraphChar"/>
    <w:uiPriority w:val="34"/>
    <w:qFormat/>
    <w:rsid w:val="009A17E4"/>
    <w:pPr>
      <w:ind w:left="720"/>
      <w:contextualSpacing/>
    </w:pPr>
    <w:rPr>
      <w:rFonts w:eastAsia="Batang"/>
      <w:snapToGrid w:val="0"/>
      <w:sz w:val="24"/>
      <w:lang w:val="fr-FR" w:eastAsia="en-US"/>
    </w:rPr>
  </w:style>
  <w:style w:type="paragraph" w:customStyle="1" w:styleId="titre4">
    <w:name w:val="titre4"/>
    <w:basedOn w:val="Normal"/>
    <w:rsid w:val="009A17E4"/>
    <w:pPr>
      <w:numPr>
        <w:numId w:val="1"/>
      </w:numPr>
      <w:tabs>
        <w:tab w:val="decimal" w:pos="357"/>
      </w:tabs>
    </w:pPr>
    <w:rPr>
      <w:rFonts w:ascii="Arial" w:hAnsi="Arial"/>
      <w:b/>
      <w:snapToGrid w:val="0"/>
      <w:sz w:val="24"/>
      <w:lang w:val="en-GB" w:eastAsia="en-US"/>
    </w:rPr>
  </w:style>
  <w:style w:type="character" w:customStyle="1" w:styleId="ListParagraphChar">
    <w:name w:val="List Paragraph Char"/>
    <w:link w:val="ListParagraph"/>
    <w:uiPriority w:val="34"/>
    <w:rsid w:val="009A17E4"/>
    <w:rPr>
      <w:rFonts w:ascii="Times New Roman" w:eastAsia="Batang" w:hAnsi="Times New Roman" w:cs="Times New Roman"/>
      <w:snapToGrid w:val="0"/>
      <w:sz w:val="24"/>
      <w:szCs w:val="20"/>
      <w:lang w:val="fr-FR"/>
    </w:rPr>
  </w:style>
  <w:style w:type="paragraph" w:customStyle="1" w:styleId="Blockquote">
    <w:name w:val="Blockquote"/>
    <w:basedOn w:val="Normal"/>
    <w:uiPriority w:val="99"/>
    <w:rsid w:val="009A5938"/>
    <w:pPr>
      <w:widowControl w:val="0"/>
      <w:spacing w:before="100" w:after="100"/>
      <w:ind w:left="360" w:right="360"/>
    </w:pPr>
    <w:rPr>
      <w:snapToGrid w:val="0"/>
      <w:sz w:val="24"/>
      <w:lang w:eastAsia="en-US"/>
    </w:rPr>
  </w:style>
  <w:style w:type="character" w:styleId="Emphasis">
    <w:name w:val="Emphasis"/>
    <w:qFormat/>
    <w:rsid w:val="009A5938"/>
    <w:rPr>
      <w:i/>
    </w:rPr>
  </w:style>
  <w:style w:type="paragraph" w:styleId="FootnoteText">
    <w:name w:val="footnote text"/>
    <w:basedOn w:val="Normal"/>
    <w:link w:val="FootnoteTextChar"/>
    <w:semiHidden/>
    <w:rsid w:val="009A5938"/>
    <w:pPr>
      <w:widowControl w:val="0"/>
      <w:spacing w:before="100" w:after="100"/>
    </w:pPr>
    <w:rPr>
      <w:snapToGrid w:val="0"/>
      <w:lang w:eastAsia="en-US"/>
    </w:rPr>
  </w:style>
  <w:style w:type="character" w:customStyle="1" w:styleId="FootnoteTextChar">
    <w:name w:val="Footnote Text Char"/>
    <w:basedOn w:val="DefaultParagraphFont"/>
    <w:link w:val="FootnoteText"/>
    <w:semiHidden/>
    <w:rsid w:val="009A5938"/>
    <w:rPr>
      <w:rFonts w:ascii="Times New Roman" w:eastAsia="Times New Roman" w:hAnsi="Times New Roman" w:cs="Times New Roman"/>
      <w:snapToGrid w:val="0"/>
      <w:sz w:val="20"/>
      <w:szCs w:val="20"/>
    </w:rPr>
  </w:style>
  <w:style w:type="character" w:styleId="FootnoteReference">
    <w:name w:val="footnote reference"/>
    <w:semiHidden/>
    <w:rsid w:val="009A59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19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lex-kosovo.e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EULEX Kosovo</Company>
  <LinksUpToDate>false</LinksUpToDate>
  <CharactersWithSpaces>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Adelina Morina-Sylaj</dc:creator>
  <cp:keywords/>
  <dc:description/>
  <cp:lastModifiedBy>Adelina Morina-Sylaj</cp:lastModifiedBy>
  <cp:revision>5</cp:revision>
  <dcterms:created xsi:type="dcterms:W3CDTF">2020-04-02T11:57:00Z</dcterms:created>
  <dcterms:modified xsi:type="dcterms:W3CDTF">2020-05-29T19:26:00Z</dcterms:modified>
</cp:coreProperties>
</file>